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p>
    <w:p>
      <w:pPr>
        <w:jc w:val="both"/>
        <w:rPr>
          <w:rFonts w:hint="eastAsia"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六安市科技局20</w:t>
      </w:r>
      <w:r>
        <w:rPr>
          <w:rFonts w:hint="eastAsia" w:ascii="方正小标宋_GBK" w:hAnsi="方正小标宋_GBK" w:eastAsia="方正小标宋_GBK" w:cs="方正小标宋_GBK"/>
          <w:sz w:val="44"/>
          <w:szCs w:val="44"/>
          <w:lang w:val="en-US" w:eastAsia="zh-CN"/>
        </w:rPr>
        <w:t>22</w:t>
      </w:r>
      <w:r>
        <w:rPr>
          <w:rFonts w:hint="eastAsia" w:ascii="方正小标宋_GBK" w:hAnsi="方正小标宋_GBK" w:eastAsia="方正小标宋_GBK" w:cs="方正小标宋_GBK"/>
          <w:sz w:val="44"/>
          <w:szCs w:val="44"/>
          <w:lang w:eastAsia="zh-CN"/>
        </w:rPr>
        <w:t>年度科技创新专项资金</w:t>
      </w:r>
      <w:r>
        <w:rPr>
          <w:rFonts w:hint="eastAsia" w:ascii="方正小标宋_GBK" w:hAnsi="方正小标宋_GBK" w:eastAsia="方正小标宋_GBK" w:cs="方正小标宋_GBK"/>
          <w:sz w:val="44"/>
          <w:szCs w:val="44"/>
          <w:lang w:val="en-US" w:eastAsia="zh-CN"/>
        </w:rPr>
        <w:t>项目支出</w:t>
      </w:r>
      <w:r>
        <w:rPr>
          <w:rFonts w:hint="eastAsia" w:ascii="方正小标宋_GBK" w:hAnsi="方正小标宋_GBK" w:eastAsia="方正小标宋_GBK" w:cs="方正小标宋_GBK"/>
          <w:sz w:val="44"/>
          <w:szCs w:val="44"/>
          <w:lang w:eastAsia="zh-CN"/>
        </w:rPr>
        <w:t>绩效评价报告</w:t>
      </w:r>
    </w:p>
    <w:p/>
    <w:p>
      <w:pPr>
        <w:pStyle w:val="3"/>
        <w:keepNext w:val="0"/>
        <w:keepLines w:val="0"/>
        <w:pageBreakBefore w:val="0"/>
        <w:widowControl w:val="0"/>
        <w:numPr>
          <w:ilvl w:val="0"/>
          <w:numId w:val="1"/>
        </w:numPr>
        <w:kinsoku/>
        <w:wordWrap/>
        <w:overflowPunct/>
        <w:topLinePunct w:val="0"/>
        <w:bidi w:val="0"/>
        <w:spacing w:line="600" w:lineRule="exact"/>
        <w:ind w:left="0" w:leftChars="0" w:right="0" w:right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项目基本情况</w:t>
      </w:r>
    </w:p>
    <w:p>
      <w:pPr>
        <w:pStyle w:val="3"/>
        <w:keepNext w:val="0"/>
        <w:keepLines w:val="0"/>
        <w:pageBreakBefore w:val="0"/>
        <w:widowControl w:val="0"/>
        <w:numPr>
          <w:ilvl w:val="0"/>
          <w:numId w:val="2"/>
        </w:numPr>
        <w:kinsoku/>
        <w:wordWrap/>
        <w:overflowPunct/>
        <w:topLinePunct w:val="0"/>
        <w:bidi w:val="0"/>
        <w:spacing w:line="600" w:lineRule="exact"/>
        <w:ind w:left="0" w:leftChars="0" w:right="0" w:right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项目概况</w:t>
      </w:r>
    </w:p>
    <w:p>
      <w:pPr>
        <w:pStyle w:val="8"/>
        <w:keepNext w:val="0"/>
        <w:keepLines w:val="0"/>
        <w:pageBreakBefore w:val="0"/>
        <w:widowControl w:val="0"/>
        <w:numPr>
          <w:ilvl w:val="0"/>
          <w:numId w:val="0"/>
        </w:numPr>
        <w:kinsoku/>
        <w:wordWrap/>
        <w:overflowPunct/>
        <w:topLinePunct w:val="0"/>
        <w:bidi w:val="0"/>
        <w:spacing w:line="60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kern w:val="2"/>
          <w:sz w:val="32"/>
          <w:szCs w:val="32"/>
          <w:lang w:val="en-US" w:eastAsia="zh-CN" w:bidi="ar-SA"/>
        </w:rPr>
        <w:t>为贯彻落实六安市委市政府创新驱动发展战略，加快转变经济发展方式，提升我市自主创新能力，市科技局设立了科技创新专项资金，旨在通过对本市企业、高校、科研院所等创新主体财政资金支持，引导各类创新主体加大研发投入，加快构建以企业为主体、市场为导向、产学研相结合的产业技术创新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根据《六安市财政局关于开展2022年度预算支出绩效</w:t>
      </w:r>
    </w:p>
    <w:p>
      <w:pPr>
        <w:spacing w:line="560" w:lineRule="exact"/>
        <w:rPr>
          <w:rFonts w:hint="default"/>
          <w:lang w:val="en-US" w:eastAsia="zh-CN"/>
        </w:rPr>
      </w:pPr>
      <w:r>
        <w:rPr>
          <w:rFonts w:hint="eastAsia" w:ascii="方正仿宋_GBK" w:hAnsi="方正仿宋_GBK" w:eastAsia="方正仿宋_GBK" w:cs="方正仿宋_GBK"/>
          <w:color w:val="000000"/>
          <w:kern w:val="2"/>
          <w:sz w:val="32"/>
          <w:szCs w:val="32"/>
          <w:lang w:val="en-US" w:eastAsia="zh-CN" w:bidi="ar-SA"/>
        </w:rPr>
        <w:t>单位自评和部门评价工作的通知》要求，我局对本级重点项目“科技创新专项资金”进行了绩效评价</w:t>
      </w:r>
      <w:bookmarkStart w:id="6" w:name="_GoBack"/>
      <w:bookmarkEnd w:id="6"/>
      <w:r>
        <w:rPr>
          <w:rFonts w:hint="eastAsia" w:ascii="仿宋_GB2312" w:hAnsi="仿宋_GB2312" w:eastAsia="仿宋_GB2312" w:cs="仿宋_GB2312"/>
          <w:sz w:val="32"/>
          <w:szCs w:val="32"/>
        </w:rPr>
        <w:t>，2022年由六安市财政局产业高质量发展资金中统留，市科技局牵头提出分配方案后使用</w:t>
      </w:r>
      <w:r>
        <w:rPr>
          <w:rFonts w:hint="eastAsia" w:ascii="方正仿宋_GBK" w:hAnsi="方正仿宋_GBK" w:eastAsia="方正仿宋_GBK" w:cs="方正仿宋_GBK"/>
          <w:color w:val="000000"/>
          <w:kern w:val="2"/>
          <w:sz w:val="32"/>
          <w:szCs w:val="32"/>
          <w:lang w:val="en-US" w:eastAsia="zh-CN" w:bidi="ar-SA"/>
        </w:rPr>
        <w:t>，实际支付4271.43万元。2022年支出的4271.43万元，</w:t>
      </w:r>
      <w:r>
        <w:rPr>
          <w:rFonts w:hint="eastAsia" w:ascii="方正仿宋_GBK" w:hAnsi="方正仿宋_GBK" w:eastAsia="方正仿宋_GBK" w:cs="方正仿宋_GBK"/>
          <w:color w:val="000000"/>
          <w:kern w:val="2"/>
          <w:sz w:val="32"/>
          <w:szCs w:val="32"/>
          <w:highlight w:val="none"/>
          <w:lang w:val="en-US" w:eastAsia="zh-CN" w:bidi="ar-SA"/>
        </w:rPr>
        <w:t>其中“研发投入奖补”281项，1686.3万元；“高新技术企业培育认定奖励”258项，1392.8万元；“农业科技创新奖励”92项，529.2万元；“众创空间和孵化平台奖励”8项，172万元；</w:t>
      </w:r>
      <w:r>
        <w:rPr>
          <w:rFonts w:hint="eastAsia" w:ascii="方正仿宋_GBK" w:hAnsi="方正仿宋_GBK" w:eastAsia="方正仿宋_GBK" w:cs="方正仿宋_GBK"/>
          <w:color w:val="000000"/>
          <w:kern w:val="2"/>
          <w:sz w:val="32"/>
          <w:szCs w:val="32"/>
          <w:lang w:val="en-US" w:eastAsia="zh-CN" w:bidi="ar-SA"/>
        </w:rPr>
        <w:t>“支持科技人员创新创业”3项，245.04万元；“促进科技成果转化及产业化”14项，39.07万元；</w:t>
      </w:r>
      <w:r>
        <w:rPr>
          <w:rFonts w:hint="eastAsia" w:ascii="方正仿宋_GBK" w:hAnsi="方正仿宋_GBK" w:eastAsia="方正仿宋_GBK" w:cs="方正仿宋_GBK"/>
          <w:color w:val="000000"/>
          <w:kern w:val="2"/>
          <w:sz w:val="32"/>
          <w:szCs w:val="32"/>
          <w:highlight w:val="none"/>
          <w:lang w:val="en-US" w:eastAsia="zh-CN" w:bidi="ar-SA"/>
        </w:rPr>
        <w:t>“科创中心孵化资金”1项，177.02万元；“自然科学基金奖励”1项，30万元。</w:t>
      </w:r>
    </w:p>
    <w:p>
      <w:pPr>
        <w:pStyle w:val="3"/>
        <w:keepNext w:val="0"/>
        <w:keepLines w:val="0"/>
        <w:pageBreakBefore w:val="0"/>
        <w:widowControl w:val="0"/>
        <w:numPr>
          <w:ilvl w:val="0"/>
          <w:numId w:val="2"/>
        </w:numPr>
        <w:kinsoku/>
        <w:wordWrap/>
        <w:overflowPunct/>
        <w:topLinePunct w:val="0"/>
        <w:bidi w:val="0"/>
        <w:spacing w:line="600" w:lineRule="exact"/>
        <w:ind w:left="0" w:leftChars="0" w:right="0" w:right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项目绩效目标</w:t>
      </w:r>
    </w:p>
    <w:p>
      <w:pPr>
        <w:pStyle w:val="8"/>
        <w:keepNext w:val="0"/>
        <w:keepLines w:val="0"/>
        <w:pageBreakBefore w:val="0"/>
        <w:widowControl w:val="0"/>
        <w:numPr>
          <w:ilvl w:val="0"/>
          <w:numId w:val="0"/>
        </w:numPr>
        <w:kinsoku/>
        <w:wordWrap/>
        <w:overflowPunct/>
        <w:topLinePunct w:val="0"/>
        <w:bidi w:val="0"/>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kern w:val="2"/>
          <w:sz w:val="32"/>
          <w:szCs w:val="32"/>
          <w:highlight w:val="none"/>
          <w:lang w:val="en-US" w:eastAsia="zh-CN" w:bidi="ar-SA"/>
        </w:rPr>
      </w:pPr>
      <w:r>
        <w:rPr>
          <w:rFonts w:hint="eastAsia" w:ascii="方正仿宋_GBK" w:hAnsi="方正仿宋_GBK" w:eastAsia="方正仿宋_GBK" w:cs="方正仿宋_GBK"/>
          <w:color w:val="000000"/>
          <w:kern w:val="2"/>
          <w:sz w:val="32"/>
          <w:szCs w:val="32"/>
          <w:highlight w:val="none"/>
          <w:lang w:val="en-US" w:eastAsia="zh-CN" w:bidi="ar-SA"/>
        </w:rPr>
        <w:t>通过该项目的实施，全社会研发投入得到进一步加强，高新技术企业进一步增加，推动了科技创新和经济社会发展深度融合，创新链产业链资金链人才链精准对接，为社会经济的发展提供了科技支撑。</w:t>
      </w:r>
    </w:p>
    <w:p>
      <w:pPr>
        <w:pStyle w:val="3"/>
        <w:keepNext w:val="0"/>
        <w:keepLines w:val="0"/>
        <w:pageBreakBefore w:val="0"/>
        <w:widowControl w:val="0"/>
        <w:numPr>
          <w:ilvl w:val="0"/>
          <w:numId w:val="1"/>
        </w:numPr>
        <w:kinsoku/>
        <w:wordWrap/>
        <w:overflowPunct/>
        <w:topLinePunct w:val="0"/>
        <w:bidi w:val="0"/>
        <w:spacing w:line="600" w:lineRule="exact"/>
        <w:ind w:left="0" w:leftChars="0" w:right="0" w:rightChars="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绩效评价工作开展情况</w:t>
      </w:r>
    </w:p>
    <w:p>
      <w:pPr>
        <w:pStyle w:val="3"/>
        <w:keepNext w:val="0"/>
        <w:keepLines w:val="0"/>
        <w:pageBreakBefore w:val="0"/>
        <w:widowControl w:val="0"/>
        <w:numPr>
          <w:ilvl w:val="0"/>
          <w:numId w:val="3"/>
        </w:numPr>
        <w:kinsoku/>
        <w:wordWrap/>
        <w:overflowPunct/>
        <w:topLinePunct w:val="0"/>
        <w:bidi w:val="0"/>
        <w:spacing w:line="600" w:lineRule="exact"/>
        <w:ind w:left="0" w:leftChars="0" w:right="0" w:rightChars="0" w:firstLine="643"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绩效评价的目的、对象和范围</w:t>
      </w:r>
    </w:p>
    <w:p>
      <w:pPr>
        <w:pStyle w:val="8"/>
        <w:keepNext w:val="0"/>
        <w:keepLines w:val="0"/>
        <w:pageBreakBefore w:val="0"/>
        <w:widowControl w:val="0"/>
        <w:numPr>
          <w:ilvl w:val="0"/>
          <w:numId w:val="0"/>
        </w:numPr>
        <w:kinsoku/>
        <w:wordWrap/>
        <w:overflowPunct/>
        <w:topLinePunct w:val="0"/>
        <w:bidi w:val="0"/>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kern w:val="2"/>
          <w:sz w:val="32"/>
          <w:szCs w:val="32"/>
          <w:highlight w:val="none"/>
          <w:lang w:val="en-US" w:eastAsia="zh-CN" w:bidi="ar-SA"/>
        </w:rPr>
      </w:pPr>
      <w:r>
        <w:rPr>
          <w:rFonts w:hint="eastAsia" w:ascii="方正仿宋_GBK" w:hAnsi="方正仿宋_GBK" w:eastAsia="方正仿宋_GBK" w:cs="方正仿宋_GBK"/>
          <w:color w:val="000000"/>
          <w:kern w:val="2"/>
          <w:sz w:val="32"/>
          <w:szCs w:val="32"/>
          <w:highlight w:val="none"/>
          <w:lang w:val="en-US" w:eastAsia="zh-CN" w:bidi="ar-SA"/>
        </w:rPr>
        <w:t>本次绩效评价对象为2022年度市级科技创新专项资金</w:t>
      </w:r>
      <w:r>
        <w:rPr>
          <w:rFonts w:hint="eastAsia" w:ascii="仿宋_GB2312" w:hAnsi="仿宋_GB2312" w:eastAsia="仿宋_GB2312" w:cs="仿宋_GB2312"/>
          <w:sz w:val="32"/>
          <w:szCs w:val="32"/>
        </w:rPr>
        <w:t>由六安市财政局产业高质量发展资金中统留</w:t>
      </w:r>
      <w:r>
        <w:rPr>
          <w:rFonts w:hint="eastAsia" w:ascii="方正仿宋_GBK" w:hAnsi="方正仿宋_GBK" w:eastAsia="方正仿宋_GBK" w:cs="方正仿宋_GBK"/>
          <w:color w:val="000000"/>
          <w:kern w:val="2"/>
          <w:sz w:val="32"/>
          <w:szCs w:val="32"/>
          <w:highlight w:val="none"/>
          <w:lang w:val="en-US" w:eastAsia="zh-CN" w:bidi="ar-SA"/>
        </w:rPr>
        <w:t>，并根据实际情况延伸至县区。</w:t>
      </w:r>
    </w:p>
    <w:p>
      <w:pPr>
        <w:pStyle w:val="3"/>
        <w:keepNext w:val="0"/>
        <w:keepLines w:val="0"/>
        <w:pageBreakBefore w:val="0"/>
        <w:widowControl w:val="0"/>
        <w:numPr>
          <w:ilvl w:val="0"/>
          <w:numId w:val="3"/>
        </w:numPr>
        <w:kinsoku/>
        <w:wordWrap/>
        <w:overflowPunct/>
        <w:topLinePunct w:val="0"/>
        <w:bidi w:val="0"/>
        <w:spacing w:line="600" w:lineRule="exact"/>
        <w:ind w:left="0" w:leftChars="0" w:right="0" w:rightChars="0" w:firstLine="643"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绩效评价原则、评价指标体系、评价方法、评价标准等</w:t>
      </w:r>
    </w:p>
    <w:p>
      <w:pPr>
        <w:pStyle w:val="8"/>
        <w:keepNext w:val="0"/>
        <w:keepLines w:val="0"/>
        <w:pageBreakBefore w:val="0"/>
        <w:widowControl w:val="0"/>
        <w:numPr>
          <w:ilvl w:val="0"/>
          <w:numId w:val="0"/>
        </w:numPr>
        <w:kinsoku/>
        <w:wordWrap/>
        <w:overflowPunct/>
        <w:topLinePunct w:val="0"/>
        <w:bidi w:val="0"/>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kern w:val="2"/>
          <w:sz w:val="32"/>
          <w:szCs w:val="32"/>
          <w:highlight w:val="none"/>
          <w:lang w:val="en-US" w:eastAsia="zh-CN" w:bidi="ar-SA"/>
        </w:rPr>
      </w:pPr>
      <w:r>
        <w:rPr>
          <w:rFonts w:hint="eastAsia" w:ascii="方正仿宋_GBK" w:hAnsi="方正仿宋_GBK" w:eastAsia="方正仿宋_GBK" w:cs="方正仿宋_GBK"/>
          <w:color w:val="000000"/>
          <w:kern w:val="2"/>
          <w:sz w:val="32"/>
          <w:szCs w:val="32"/>
          <w:highlight w:val="none"/>
          <w:lang w:val="en-US" w:eastAsia="zh-CN" w:bidi="ar-SA"/>
        </w:rPr>
        <w:t>2022年度市级科技创新专项资金项目以实事求是的原则开展了绩效评价，从项目决策、过程、产出和效益四方面进行综合分析，并根据评价指标体系对项目进行评分。</w:t>
      </w:r>
    </w:p>
    <w:p>
      <w:pPr>
        <w:pStyle w:val="3"/>
        <w:keepNext w:val="0"/>
        <w:keepLines w:val="0"/>
        <w:pageBreakBefore w:val="0"/>
        <w:widowControl w:val="0"/>
        <w:numPr>
          <w:ilvl w:val="0"/>
          <w:numId w:val="3"/>
        </w:numPr>
        <w:kinsoku/>
        <w:wordWrap/>
        <w:overflowPunct/>
        <w:topLinePunct w:val="0"/>
        <w:bidi w:val="0"/>
        <w:spacing w:line="600" w:lineRule="exact"/>
        <w:ind w:left="0" w:leftChars="0" w:right="0" w:rightChars="0" w:firstLine="643"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绩效评价工作过程</w:t>
      </w:r>
    </w:p>
    <w:p>
      <w:pPr>
        <w:pStyle w:val="8"/>
        <w:keepNext w:val="0"/>
        <w:keepLines w:val="0"/>
        <w:pageBreakBefore w:val="0"/>
        <w:widowControl w:val="0"/>
        <w:numPr>
          <w:ilvl w:val="0"/>
          <w:numId w:val="0"/>
        </w:numPr>
        <w:kinsoku/>
        <w:wordWrap/>
        <w:overflowPunct/>
        <w:topLinePunct w:val="0"/>
        <w:bidi w:val="0"/>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1.严格落实《六安市预算绩效管理工作考核暂行办法》（财绩〔2020〕376 号）、《六安市财政局关于开展2022年度预算支出绩效单位自评和部门评价工作的通知》（财绩〔2023〕15号）等文件，做好年度预算编制工作。</w:t>
      </w:r>
    </w:p>
    <w:p>
      <w:pPr>
        <w:pStyle w:val="8"/>
        <w:keepNext w:val="0"/>
        <w:keepLines w:val="0"/>
        <w:pageBreakBefore w:val="0"/>
        <w:widowControl w:val="0"/>
        <w:numPr>
          <w:ilvl w:val="0"/>
          <w:numId w:val="0"/>
        </w:numPr>
        <w:kinsoku/>
        <w:wordWrap/>
        <w:overflowPunct/>
        <w:topLinePunct w:val="0"/>
        <w:bidi w:val="0"/>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2.落实好《六安市创新驱动发展专项资金管理办法》（财教〔2018〕688号），《六安市科技局财务管理制度及配套管理办法》（六科办〔2022〕3号），坚持党组管财、民主理财、大额支出经党组集体研究决定的原则。</w:t>
      </w:r>
    </w:p>
    <w:p>
      <w:pPr>
        <w:pStyle w:val="8"/>
        <w:keepNext w:val="0"/>
        <w:keepLines w:val="0"/>
        <w:pageBreakBefore w:val="0"/>
        <w:widowControl w:val="0"/>
        <w:numPr>
          <w:ilvl w:val="0"/>
          <w:numId w:val="0"/>
        </w:numPr>
        <w:kinsoku/>
        <w:wordWrap/>
        <w:overflowPunct/>
        <w:topLinePunct w:val="0"/>
        <w:bidi w:val="0"/>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3.落实预算支出主体责任制度，提高预算支出的及时性和有效性。召开局务会，及时布置、精心组织，按照规定编制科技创新专项资金、政府采购、资产配置和政府购买服务等预算编制工作。根据“放管服”改革，建设“四最”营商环境，主动转变工作作风，提高资金拨付效率。</w:t>
      </w:r>
    </w:p>
    <w:p>
      <w:pPr>
        <w:pStyle w:val="8"/>
        <w:keepNext w:val="0"/>
        <w:keepLines w:val="0"/>
        <w:pageBreakBefore w:val="0"/>
        <w:widowControl w:val="0"/>
        <w:numPr>
          <w:ilvl w:val="0"/>
          <w:numId w:val="0"/>
        </w:numPr>
        <w:kinsoku/>
        <w:wordWrap/>
        <w:overflowPunct/>
        <w:topLinePunct w:val="0"/>
        <w:bidi w:val="0"/>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市科技局组织对“科技创新专项资金”项目开展了部门评价，涉及预算资金4271.43万元。该项目由科技局部门开展绩效评价，从评价情况看，项目完成情况较好，达到了预期绩效目标。</w:t>
      </w:r>
    </w:p>
    <w:p>
      <w:pPr>
        <w:pStyle w:val="3"/>
        <w:keepNext w:val="0"/>
        <w:keepLines w:val="0"/>
        <w:pageBreakBefore w:val="0"/>
        <w:widowControl w:val="0"/>
        <w:numPr>
          <w:ilvl w:val="0"/>
          <w:numId w:val="1"/>
        </w:numPr>
        <w:kinsoku/>
        <w:wordWrap/>
        <w:overflowPunct/>
        <w:topLinePunct w:val="0"/>
        <w:bidi w:val="0"/>
        <w:spacing w:line="600" w:lineRule="exact"/>
        <w:ind w:left="0" w:leftChars="0" w:right="0" w:rightChars="0"/>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综合评价情况及评价结论</w:t>
      </w:r>
    </w:p>
    <w:p>
      <w:pPr>
        <w:pStyle w:val="8"/>
        <w:keepNext w:val="0"/>
        <w:keepLines w:val="0"/>
        <w:pageBreakBefore w:val="0"/>
        <w:widowControl w:val="0"/>
        <w:numPr>
          <w:ilvl w:val="0"/>
          <w:numId w:val="0"/>
        </w:numPr>
        <w:kinsoku/>
        <w:wordWrap/>
        <w:overflowPunct/>
        <w:topLinePunct w:val="0"/>
        <w:bidi w:val="0"/>
        <w:spacing w:line="600" w:lineRule="exact"/>
        <w:ind w:left="0" w:leftChars="0" w:right="0" w:rightChars="0" w:firstLine="640" w:firstLineChars="200"/>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仿宋_GBK" w:hAnsi="方正仿宋_GBK" w:eastAsia="方正仿宋_GBK" w:cs="方正仿宋_GBK"/>
          <w:color w:val="000000"/>
          <w:kern w:val="2"/>
          <w:sz w:val="32"/>
          <w:szCs w:val="32"/>
          <w:highlight w:val="none"/>
          <w:lang w:val="en-US" w:eastAsia="zh-CN" w:bidi="ar-SA"/>
        </w:rPr>
        <w:t>市科技局从项目决策、过程、产出和效益四方面对科技创新专项资金项目进行综合分析，认为该项目过程管理规范，组织实施有力，执行率较高，较好地发挥了财政资金使用效益，完成了年度目标，最终评分结果为82分。（附2022年六安市创新驱动发展专项资金绩效评价评分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contextualSpacing/>
        <w:jc w:val="both"/>
        <w:textAlignment w:val="auto"/>
        <w:outlineLvl w:val="9"/>
        <w:rPr>
          <w:rFonts w:hint="eastAsia" w:ascii="方正仿宋_GBK" w:hAnsi="方正仿宋_GBK" w:eastAsia="方正仿宋_GBK" w:cs="方正仿宋_GBK"/>
          <w:b/>
          <w:bCs/>
          <w:color w:val="auto"/>
          <w:spacing w:val="0"/>
          <w:w w:val="100"/>
          <w:kern w:val="0"/>
          <w:sz w:val="32"/>
          <w:szCs w:val="32"/>
          <w:highlight w:val="none"/>
          <w:lang w:eastAsia="zh-CN"/>
        </w:rPr>
      </w:pPr>
      <w:r>
        <w:rPr>
          <w:rFonts w:hint="eastAsia" w:ascii="方正仿宋_GBK" w:hAnsi="方正仿宋_GBK" w:eastAsia="方正仿宋_GBK" w:cs="方正仿宋_GBK"/>
          <w:b/>
          <w:bCs/>
          <w:color w:val="auto"/>
          <w:spacing w:val="0"/>
          <w:w w:val="100"/>
          <w:kern w:val="0"/>
          <w:sz w:val="32"/>
          <w:szCs w:val="32"/>
          <w:highlight w:val="none"/>
          <w:lang w:eastAsia="zh-CN"/>
        </w:rPr>
        <w:t>（一）强供给，扩投入，自主创新能力稳步提升</w:t>
      </w:r>
    </w:p>
    <w:p>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一是持续提升研发投入强度。</w:t>
      </w:r>
      <w:r>
        <w:rPr>
          <w:rFonts w:hint="eastAsia" w:ascii="Times New Roman" w:hAnsi="Times New Roman" w:eastAsia="仿宋_GB2312" w:cs="仿宋_GB2312"/>
          <w:sz w:val="32"/>
          <w:szCs w:val="32"/>
          <w:lang w:val="en-US" w:eastAsia="zh-CN"/>
        </w:rPr>
        <w:t>贯彻落实《六安市引导全社会加大研发投入实施意见》，用足用活研发投入奖励政策，激发各类创新主体的内生动力；指导规上企业做好研发项目立项、研发经费归集等基础性工作，做到应统尽统。2021年全社会研发经费24亿元，较上年度增长31.1%，增幅全省第2；全社会研发投入强度1.25%，较上年增长0.16个百分点，实现三年再次进位，增幅快于全省平均水平。</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是组织实施科技计划项目。围绕主导产业，引导鼓励企业加强与省内外高校院所开展产学研合作，申报实施省“定向委托”、“揭榜挂帅”等重大科技创新项目，集中力量开展关键核心技术攻关。2022年共获批省科技重大专项1项，省重点研发项目7项，省市县财政支持资金500万元；应流航源、明天氢能项目攻关需求成功列入2022年省科技重大专项“揭榜挂帅”榜单任务，其中明天氢能成功对接揭榜方，获省1100万元的立项扶持。</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是凝炼省科技奖项目。召开2022年安徽省科技奖申报工作培训会，指导申报单位对照评审标准，遴选先进科技成果，推荐申报省科技奖。2022年全市共提名12个项目参评，其中4个项目通过网评，有望获得省科学技术奖励三等奖。</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contextualSpacing/>
        <w:jc w:val="both"/>
        <w:textAlignment w:val="auto"/>
        <w:outlineLvl w:val="9"/>
        <w:rPr>
          <w:rFonts w:hint="eastAsia" w:ascii="方正仿宋_GBK" w:hAnsi="方正仿宋_GBK" w:eastAsia="方正仿宋_GBK" w:cs="方正仿宋_GBK"/>
          <w:b/>
          <w:bCs/>
          <w:color w:val="auto"/>
          <w:spacing w:val="0"/>
          <w:w w:val="100"/>
          <w:kern w:val="0"/>
          <w:sz w:val="32"/>
          <w:szCs w:val="32"/>
          <w:highlight w:val="none"/>
          <w:lang w:eastAsia="zh-CN"/>
        </w:rPr>
      </w:pPr>
      <w:r>
        <w:rPr>
          <w:rFonts w:hint="eastAsia" w:ascii="方正仿宋_GBK" w:hAnsi="方正仿宋_GBK" w:eastAsia="方正仿宋_GBK" w:cs="方正仿宋_GBK"/>
          <w:b/>
          <w:bCs/>
          <w:color w:val="auto"/>
          <w:spacing w:val="0"/>
          <w:w w:val="100"/>
          <w:kern w:val="0"/>
          <w:sz w:val="32"/>
          <w:szCs w:val="32"/>
          <w:highlight w:val="none"/>
          <w:lang w:eastAsia="zh-CN"/>
        </w:rPr>
        <w:t>（二）夯基础，抓主体，高新技术产业快速发展</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是强化高新技术企业培育认定。紧扣高企培育和认定申报工作，强化企业创新主体地位，开展政策宣传和业务指导，对到期重新认定高企和有申报意愿企业进行精准辅导、重点培育，建立高企培育“梯次队伍”，提高认定通过率。2022年共推荐申报高新技术企业279家，通过认定222家，高企总数达到486家，较2021年净增140家，实现连续四年增幅30%以上。</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是支持科技型中小企业发展。优化完善科技型中小企业扶持政策，对标科技型中小企业评价系统要求，引导中小企业从科技人员、研发费用、知识产权三个方面加大投入，着力提高中小企业科技创新能力和评价工作效能，推进科技型中小企业数量和质量双提升。2022年，全市共有569家中小企业参评，评价入库科技型中小企业557家，较2021年184家增长202.71%。</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是推动高新技术产业发展。立足各类创新资源向企业集聚，鼓励企业通过技术创新，加快产业转型升级。加强对重点县区、重点企业的指导调度，对产值降幅明显且影响全市增速较大企业进行重点分析梳理，综合施策。强化与经信、统计部门的沟通协作，优先将规上工业企业中生产经营状况持续向好的企业和拟纳规的企业，纳入高新技术产业产值统计。全市高新技术产业增加值同比增长14.2%，居全省第4位，高于8.7%的规模以上工业增加值增速。</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contextualSpacing/>
        <w:jc w:val="both"/>
        <w:textAlignment w:val="auto"/>
        <w:outlineLvl w:val="9"/>
        <w:rPr>
          <w:rFonts w:hint="eastAsia" w:ascii="方正仿宋_GBK" w:hAnsi="方正仿宋_GBK" w:eastAsia="方正仿宋_GBK" w:cs="方正仿宋_GBK"/>
          <w:b/>
          <w:bCs/>
          <w:color w:val="auto"/>
          <w:spacing w:val="0"/>
          <w:w w:val="100"/>
          <w:kern w:val="0"/>
          <w:sz w:val="32"/>
          <w:szCs w:val="32"/>
          <w:highlight w:val="none"/>
          <w:lang w:eastAsia="zh-CN"/>
        </w:rPr>
      </w:pPr>
      <w:r>
        <w:rPr>
          <w:rFonts w:hint="eastAsia" w:ascii="方正仿宋_GBK" w:hAnsi="方正仿宋_GBK" w:eastAsia="方正仿宋_GBK" w:cs="方正仿宋_GBK"/>
          <w:b/>
          <w:bCs/>
          <w:color w:val="auto"/>
          <w:spacing w:val="0"/>
          <w:w w:val="100"/>
          <w:kern w:val="0"/>
          <w:sz w:val="32"/>
          <w:szCs w:val="32"/>
          <w:highlight w:val="none"/>
          <w:lang w:eastAsia="zh-CN"/>
        </w:rPr>
        <w:t>（三）重合作，促转化，区域协同创新不断深化</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是接续推进“攀亲结缘”工程。深入推进与中科院合肥物质院战略合作，安徽工研院六安院先后三批引进“创新创业培育项目”29家，已孵化注册企业12家；裕安区与安徽大学签署战略合作备忘录，共建大学科技园六安分园，目前已正式签约运营。应流集团与南京航空航天大学签署战略合作协议，在人才联合培养、成果转化和航空航天领域技术攻关等方面开展合作。</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是实施“种子”变成“果子”行动。推动合芜蚌国家科技成果转移转化示范区建设，安徽科技大市场六安市场（首个市级分市场）正式启动运营，上线企业技术需求14项，成功对接成果5项。印发《科大讯飞“iFLYTEK A.I.开发者”大赛获奖项目落地支持方案》，设置总额为1个亿资金池，主动跟进其中6个优质项目团队洽谈，积极招引大赛获奖项目团队落户六安。</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是支持企业开展技术合同交易。促进科技成果在我市转化落地，2022年，全市企业吸纳技术合同成交额129.11亿元，居全省第7位，增幅为64.45%，全省第11位；输出技术合同成交额为79.45亿元，居全省第7位，增幅为89.26%，全省第4位。</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contextualSpacing/>
        <w:jc w:val="both"/>
        <w:textAlignment w:val="auto"/>
        <w:outlineLvl w:val="9"/>
        <w:rPr>
          <w:rFonts w:hint="eastAsia" w:ascii="方正仿宋_GBK" w:hAnsi="方正仿宋_GBK" w:eastAsia="方正仿宋_GBK" w:cs="方正仿宋_GBK"/>
          <w:b/>
          <w:bCs/>
          <w:color w:val="auto"/>
          <w:spacing w:val="0"/>
          <w:w w:val="100"/>
          <w:kern w:val="0"/>
          <w:sz w:val="32"/>
          <w:szCs w:val="32"/>
          <w:highlight w:val="none"/>
          <w:lang w:eastAsia="zh-CN"/>
        </w:rPr>
      </w:pPr>
      <w:r>
        <w:rPr>
          <w:rFonts w:hint="eastAsia" w:ascii="方正仿宋_GBK" w:hAnsi="方正仿宋_GBK" w:eastAsia="方正仿宋_GBK" w:cs="方正仿宋_GBK"/>
          <w:b/>
          <w:bCs/>
          <w:color w:val="auto"/>
          <w:spacing w:val="0"/>
          <w:w w:val="100"/>
          <w:kern w:val="0"/>
          <w:sz w:val="32"/>
          <w:szCs w:val="32"/>
          <w:highlight w:val="none"/>
          <w:lang w:eastAsia="zh-CN"/>
        </w:rPr>
        <w:t>（四）聚资源，强支撑，创新服务体系逐步完善</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是打造科技创新平台。鼓励企业精准对接高校院所科技资源，自建或共建科技创新平台。安徽博微长安“目标探测与特征提取省重点实验室”建设期满定期评估中获得“良好”等次。推荐7家单位申报省重点实验室，其中安徽金寨乔康药业与省中医药大学的“食药用菌功能活性与资源利用安徽省联合共建学科重点实验室”进入现场考察环节。新备案市级技术创新中心3家，市级实验室2家。</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是建设科技孵化载体。制定出台《六安市科技局关于加强科技企业孵化器建设管理服务实施办法（试行）》，进一步规范孵化器管理运营。引导符合条件的开发园区、行业龙头企业、高等院校等建立科技企业孵化器和众创空间。皖西学院创办的星火创咖和六安职业技术学院创办的“水穿石”成功申报为国家级众创空间，实现我市国家众创空间零的突破。新备案省级众创空间2家，新认定省级科技企业孵化器1家。六安市科创中心获国家级科技企业孵化器考评获优秀等次。水穿石等5众创空间在省绩效评价中获优秀等次。</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是集聚科技创新人才团队。持续推进省高层次科技人才团队在皖创新创业行动计划，鼓励团队携带科技成果在六安转化落地，推荐申报省扶持3家。其中霍山森普丰力预计获批为2022年省团队B类。应流集团霍山铸造有限公司成功获批2022年度省级引才引智示范基地。严格落实外国人才签证制度和外国人来华工作许可制度，目前在六安工作的外籍专家31名，其中高端技术人才（A类）5人，外国专业人才（B类）26人。认真组织开展科技活动周活动，在2022年全国科技活动周及重大示范活动中，我局已连续四年受到科技部科技人才与科学普及司表扬。</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contextualSpacing/>
        <w:jc w:val="both"/>
        <w:textAlignment w:val="auto"/>
        <w:outlineLvl w:val="9"/>
        <w:rPr>
          <w:rFonts w:hint="eastAsia" w:ascii="方正仿宋_GBK" w:hAnsi="方正仿宋_GBK" w:eastAsia="方正仿宋_GBK" w:cs="方正仿宋_GBK"/>
          <w:b/>
          <w:bCs/>
          <w:color w:val="auto"/>
          <w:spacing w:val="0"/>
          <w:w w:val="100"/>
          <w:kern w:val="0"/>
          <w:sz w:val="32"/>
          <w:szCs w:val="32"/>
          <w:highlight w:val="none"/>
          <w:lang w:eastAsia="zh-CN"/>
        </w:rPr>
      </w:pPr>
      <w:r>
        <w:rPr>
          <w:rFonts w:hint="eastAsia" w:ascii="方正仿宋_GBK" w:hAnsi="方正仿宋_GBK" w:eastAsia="方正仿宋_GBK" w:cs="方正仿宋_GBK"/>
          <w:b/>
          <w:bCs/>
          <w:color w:val="auto"/>
          <w:spacing w:val="0"/>
          <w:w w:val="100"/>
          <w:kern w:val="0"/>
          <w:sz w:val="32"/>
          <w:szCs w:val="32"/>
          <w:highlight w:val="none"/>
          <w:lang w:eastAsia="zh-CN"/>
        </w:rPr>
        <w:t>（五）提质效，助发展，农业科技创新深入推进</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是实施科技强农行动计划。聚焦我市农业特色产业提档升级“138+N”和农业提质增效“6969工程”，深化“科技特派员+”制度，助力实施“两强一增”行动。全市科技特派员队伍动态发展到2537人，实现全市1794个行政村科技特派员结对服务全覆盖。选派大学生科技特派员244人，选派数量居全省首位。全市科技特派员领办创办各类经济实体615个，研发转化应用农业“四新”科技成果298个，建立示范基地279个，开展线下集中技术培训农户58278户。我市在科技系统“两强一增”考核评估中得分位居全省第一。</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是创建农村创新创业平台。推进创新型县建设，霍山县创建期满后顺利通过省验收，舒城县进入省第二批创新型建设行列。推动安徽六安国家农业科技园区完成转型升级总体规划（2021—2025）编制。由高校院所牵头组建省级科技特派团12个，争创省创新创业示范基地14个，新增省级工作站16家，新增数居全省第一。有序推进科技特派员“四个一”工作，全市共打造市级创新创业标杆点1个，县级示范点7个，长期稳定帮扶点229个。</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是优化科技特派员创新创业环境。印发《关于贯彻进一步完善巩固坚持科技特派员制度若干措施的实施意见》（六农工组〔2022〕5号）。率先在全省成立市委农村工作领导小组科技特派员工作办公室，出台了《六安市科技特派团建设工作指引（试行）》等4个配套管理文件，建立完善了市、县、乡、村四级组织和服务体系。组织开展科技特派员创业行动绩效评价，落实创新驱动政策，兑现奖励资金338万元。会同邮储银行六安分行推出“科特贷”金融产品，共发放贷款44笔，金额5322.4万元。9名科技特派员获省通报表扬。人民日报、安徽日报、安徽电视台等主流媒体先后共7次报道了六安市科技特派员工作。</w:t>
      </w:r>
    </w:p>
    <w:p>
      <w:pPr>
        <w:pStyle w:val="3"/>
        <w:keepNext w:val="0"/>
        <w:keepLines w:val="0"/>
        <w:pageBreakBefore w:val="0"/>
        <w:widowControl w:val="0"/>
        <w:numPr>
          <w:ilvl w:val="0"/>
          <w:numId w:val="1"/>
        </w:numPr>
        <w:kinsoku/>
        <w:wordWrap/>
        <w:overflowPunct/>
        <w:topLinePunct w:val="0"/>
        <w:bidi w:val="0"/>
        <w:spacing w:line="600" w:lineRule="exact"/>
        <w:ind w:left="0" w:leftChars="0" w:right="0" w:right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绩效评价指标分析</w:t>
      </w:r>
    </w:p>
    <w:p>
      <w:pPr>
        <w:pStyle w:val="3"/>
        <w:keepNext w:val="0"/>
        <w:keepLines w:val="0"/>
        <w:pageBreakBefore w:val="0"/>
        <w:widowControl w:val="0"/>
        <w:numPr>
          <w:ilvl w:val="0"/>
          <w:numId w:val="4"/>
        </w:numPr>
        <w:kinsoku/>
        <w:wordWrap/>
        <w:overflowPunct/>
        <w:topLinePunct w:val="0"/>
        <w:bidi w:val="0"/>
        <w:spacing w:line="600" w:lineRule="exact"/>
        <w:ind w:left="0" w:leftChars="0" w:right="0" w:rightChars="0" w:firstLine="643"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项目决策情况</w:t>
      </w:r>
    </w:p>
    <w:p>
      <w:pPr>
        <w:pStyle w:val="8"/>
        <w:keepNext w:val="0"/>
        <w:keepLines w:val="0"/>
        <w:pageBreakBefore w:val="0"/>
        <w:widowControl w:val="0"/>
        <w:numPr>
          <w:ilvl w:val="0"/>
          <w:numId w:val="0"/>
        </w:numPr>
        <w:kinsoku/>
        <w:wordWrap/>
        <w:overflowPunct/>
        <w:topLinePunct w:val="0"/>
        <w:bidi w:val="0"/>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kern w:val="2"/>
          <w:sz w:val="32"/>
          <w:szCs w:val="32"/>
          <w:highlight w:val="none"/>
          <w:lang w:val="en-US" w:eastAsia="zh-CN" w:bidi="ar-SA"/>
        </w:rPr>
      </w:pPr>
      <w:r>
        <w:rPr>
          <w:rFonts w:hint="eastAsia" w:ascii="方正仿宋_GBK" w:hAnsi="方正仿宋_GBK" w:eastAsia="方正仿宋_GBK" w:cs="方正仿宋_GBK"/>
          <w:color w:val="000000"/>
          <w:kern w:val="2"/>
          <w:sz w:val="32"/>
          <w:szCs w:val="32"/>
          <w:highlight w:val="none"/>
          <w:lang w:val="en-US" w:eastAsia="zh-CN" w:bidi="ar-SA"/>
        </w:rPr>
        <w:t>本项目决策依据充分，根据部门年度工作计划，结合经济社会发展规律，符合相关法律规定。决策程序规范，项目申报、批复符合项目资金管理办法。</w:t>
      </w:r>
    </w:p>
    <w:p>
      <w:pPr>
        <w:pStyle w:val="3"/>
        <w:keepNext w:val="0"/>
        <w:keepLines w:val="0"/>
        <w:pageBreakBefore w:val="0"/>
        <w:widowControl w:val="0"/>
        <w:numPr>
          <w:ilvl w:val="0"/>
          <w:numId w:val="4"/>
        </w:numPr>
        <w:kinsoku/>
        <w:wordWrap/>
        <w:overflowPunct/>
        <w:topLinePunct w:val="0"/>
        <w:bidi w:val="0"/>
        <w:spacing w:line="600" w:lineRule="exact"/>
        <w:ind w:left="0" w:leftChars="0" w:right="0" w:rightChars="0" w:firstLine="643"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项目过程情况</w:t>
      </w:r>
    </w:p>
    <w:p>
      <w:pPr>
        <w:pStyle w:val="8"/>
        <w:keepNext w:val="0"/>
        <w:keepLines w:val="0"/>
        <w:pageBreakBefore w:val="0"/>
        <w:widowControl w:val="0"/>
        <w:numPr>
          <w:ilvl w:val="0"/>
          <w:numId w:val="0"/>
        </w:numPr>
        <w:kinsoku/>
        <w:wordWrap/>
        <w:overflowPunct/>
        <w:topLinePunct w:val="0"/>
        <w:bidi w:val="0"/>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kern w:val="2"/>
          <w:sz w:val="32"/>
          <w:szCs w:val="32"/>
          <w:highlight w:val="none"/>
          <w:lang w:val="en-US" w:eastAsia="zh-CN" w:bidi="ar-SA"/>
        </w:rPr>
      </w:pPr>
      <w:r>
        <w:rPr>
          <w:rFonts w:hint="eastAsia" w:ascii="方正仿宋_GBK" w:hAnsi="方正仿宋_GBK" w:eastAsia="方正仿宋_GBK" w:cs="方正仿宋_GBK"/>
          <w:color w:val="000000"/>
          <w:kern w:val="2"/>
          <w:sz w:val="32"/>
          <w:szCs w:val="32"/>
          <w:highlight w:val="none"/>
          <w:lang w:val="en-US" w:eastAsia="zh-CN" w:bidi="ar-SA"/>
        </w:rPr>
        <w:t>项目资金依法依规及时拨付，按照《预算法》等法律法规规定的期限内分配下达，符合项目资金管理办法、工作实施方案等要求，项目资金执行率高，资金的拨付有完整的审批程序和手续，符合项目预算批复等规定的用途。</w:t>
      </w:r>
    </w:p>
    <w:p>
      <w:pPr>
        <w:pStyle w:val="3"/>
        <w:keepNext w:val="0"/>
        <w:keepLines w:val="0"/>
        <w:pageBreakBefore w:val="0"/>
        <w:widowControl w:val="0"/>
        <w:numPr>
          <w:ilvl w:val="0"/>
          <w:numId w:val="4"/>
        </w:numPr>
        <w:kinsoku/>
        <w:wordWrap/>
        <w:overflowPunct/>
        <w:topLinePunct w:val="0"/>
        <w:bidi w:val="0"/>
        <w:spacing w:line="600" w:lineRule="exact"/>
        <w:ind w:left="0" w:leftChars="0" w:right="0" w:rightChars="0" w:firstLine="643"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项目产出情况</w:t>
      </w:r>
    </w:p>
    <w:p>
      <w:pPr>
        <w:pStyle w:val="8"/>
        <w:keepNext w:val="0"/>
        <w:keepLines w:val="0"/>
        <w:pageBreakBefore w:val="0"/>
        <w:widowControl w:val="0"/>
        <w:numPr>
          <w:ilvl w:val="0"/>
          <w:numId w:val="0"/>
        </w:numPr>
        <w:kinsoku/>
        <w:wordWrap/>
        <w:overflowPunct/>
        <w:topLinePunct w:val="0"/>
        <w:bidi w:val="0"/>
        <w:spacing w:line="600" w:lineRule="exact"/>
        <w:ind w:left="0" w:leftChars="0" w:right="0" w:rightChars="0" w:firstLine="640" w:firstLineChars="200"/>
        <w:jc w:val="both"/>
        <w:textAlignment w:val="auto"/>
        <w:rPr>
          <w:rFonts w:hint="eastAsia" w:ascii="方正仿宋_GBK" w:hAnsi="方正仿宋_GBK" w:eastAsia="方正仿宋_GBK" w:cs="方正仿宋_GBK"/>
          <w:color w:val="000000"/>
          <w:kern w:val="2"/>
          <w:sz w:val="32"/>
          <w:szCs w:val="32"/>
          <w:highlight w:val="none"/>
          <w:lang w:val="en-US" w:eastAsia="zh-CN" w:bidi="ar-SA"/>
        </w:rPr>
      </w:pPr>
      <w:r>
        <w:rPr>
          <w:rFonts w:hint="eastAsia" w:ascii="方正仿宋_GBK" w:hAnsi="方正仿宋_GBK" w:eastAsia="方正仿宋_GBK" w:cs="方正仿宋_GBK"/>
          <w:color w:val="000000"/>
          <w:kern w:val="2"/>
          <w:sz w:val="32"/>
          <w:szCs w:val="32"/>
          <w:highlight w:val="none"/>
          <w:lang w:val="en-US" w:eastAsia="zh-CN" w:bidi="ar-SA"/>
        </w:rPr>
        <w:t>科技创新驱动专项项目在支持市级重点企业项目、配套省级科技创新政策及对县区综合奖补等方面，均完成2022年度年初设立的指标值。</w:t>
      </w:r>
    </w:p>
    <w:p>
      <w:pPr>
        <w:pStyle w:val="3"/>
        <w:keepNext w:val="0"/>
        <w:keepLines w:val="0"/>
        <w:pageBreakBefore w:val="0"/>
        <w:widowControl w:val="0"/>
        <w:numPr>
          <w:ilvl w:val="0"/>
          <w:numId w:val="4"/>
        </w:numPr>
        <w:kinsoku/>
        <w:wordWrap/>
        <w:overflowPunct/>
        <w:topLinePunct w:val="0"/>
        <w:bidi w:val="0"/>
        <w:spacing w:line="600" w:lineRule="exact"/>
        <w:ind w:left="0" w:leftChars="0" w:right="0" w:rightChars="0" w:firstLine="643"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项目效益情况</w:t>
      </w:r>
    </w:p>
    <w:p>
      <w:pPr>
        <w:pStyle w:val="8"/>
        <w:keepNext w:val="0"/>
        <w:keepLines w:val="0"/>
        <w:pageBreakBefore w:val="0"/>
        <w:widowControl w:val="0"/>
        <w:numPr>
          <w:ilvl w:val="0"/>
          <w:numId w:val="0"/>
        </w:numPr>
        <w:kinsoku/>
        <w:wordWrap/>
        <w:overflowPunct/>
        <w:topLinePunct w:val="0"/>
        <w:bidi w:val="0"/>
        <w:spacing w:line="600" w:lineRule="exact"/>
        <w:ind w:left="0" w:leftChars="0" w:right="0" w:rightChars="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color w:val="000000"/>
          <w:kern w:val="2"/>
          <w:sz w:val="32"/>
          <w:szCs w:val="32"/>
          <w:highlight w:val="none"/>
          <w:lang w:val="en-US" w:eastAsia="zh-CN" w:bidi="ar-SA"/>
        </w:rPr>
        <w:t>该项目实施所产生的社会效益，如促进技术成果应用、推广、示范，解决具体技术难题，提高科技创新对经济、社会发展的支撑作用，政策兑现单位满意度较高。</w:t>
      </w:r>
    </w:p>
    <w:p>
      <w:pPr>
        <w:pStyle w:val="3"/>
        <w:keepNext w:val="0"/>
        <w:keepLines w:val="0"/>
        <w:pageBreakBefore w:val="0"/>
        <w:widowControl w:val="0"/>
        <w:numPr>
          <w:ilvl w:val="0"/>
          <w:numId w:val="1"/>
        </w:numPr>
        <w:kinsoku/>
        <w:wordWrap/>
        <w:overflowPunct/>
        <w:topLinePunct w:val="0"/>
        <w:bidi w:val="0"/>
        <w:spacing w:line="600" w:lineRule="exact"/>
        <w:ind w:left="0" w:leftChars="0" w:right="0" w:right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主要经验及做法</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contextualSpacing/>
        <w:jc w:val="both"/>
        <w:textAlignment w:val="auto"/>
        <w:outlineLvl w:val="9"/>
        <w:rPr>
          <w:rFonts w:hint="eastAsia" w:ascii="方正仿宋_GBK" w:hAnsi="方正仿宋_GBK" w:eastAsia="方正仿宋_GBK" w:cs="方正仿宋_GBK"/>
          <w:b/>
          <w:bCs/>
          <w:color w:val="auto"/>
          <w:spacing w:val="0"/>
          <w:w w:val="100"/>
          <w:kern w:val="0"/>
          <w:sz w:val="32"/>
          <w:szCs w:val="32"/>
          <w:highlight w:val="none"/>
          <w:lang w:eastAsia="zh-CN"/>
        </w:rPr>
      </w:pPr>
      <w:r>
        <w:rPr>
          <w:rFonts w:hint="eastAsia" w:ascii="方正仿宋_GBK" w:hAnsi="方正仿宋_GBK" w:eastAsia="方正仿宋_GBK" w:cs="方正仿宋_GBK"/>
          <w:b/>
          <w:bCs/>
          <w:color w:val="auto"/>
          <w:spacing w:val="0"/>
          <w:w w:val="100"/>
          <w:kern w:val="0"/>
          <w:sz w:val="32"/>
          <w:szCs w:val="32"/>
          <w:highlight w:val="none"/>
          <w:lang w:eastAsia="zh-CN"/>
        </w:rPr>
        <w:t>（</w:t>
      </w:r>
      <w:r>
        <w:rPr>
          <w:rFonts w:hint="eastAsia" w:ascii="方正仿宋_GBK" w:hAnsi="方正仿宋_GBK" w:eastAsia="方正仿宋_GBK" w:cs="方正仿宋_GBK"/>
          <w:b/>
          <w:bCs/>
          <w:color w:val="auto"/>
          <w:spacing w:val="0"/>
          <w:w w:val="100"/>
          <w:kern w:val="0"/>
          <w:sz w:val="32"/>
          <w:szCs w:val="32"/>
          <w:highlight w:val="none"/>
          <w:lang w:val="en-US" w:eastAsia="zh-CN"/>
        </w:rPr>
        <w:t>一</w:t>
      </w:r>
      <w:r>
        <w:rPr>
          <w:rFonts w:hint="eastAsia" w:ascii="方正仿宋_GBK" w:hAnsi="方正仿宋_GBK" w:eastAsia="方正仿宋_GBK" w:cs="方正仿宋_GBK"/>
          <w:b/>
          <w:bCs/>
          <w:color w:val="auto"/>
          <w:spacing w:val="0"/>
          <w:w w:val="100"/>
          <w:kern w:val="0"/>
          <w:sz w:val="32"/>
          <w:szCs w:val="32"/>
          <w:highlight w:val="none"/>
          <w:lang w:eastAsia="zh-CN"/>
        </w:rPr>
        <w:t>）聚焦“双倍增”行动，进一步强化企业创新主体地位</w:t>
      </w:r>
    </w:p>
    <w:p>
      <w:pPr>
        <w:spacing w:line="600" w:lineRule="exact"/>
        <w:ind w:firstLine="640" w:firstLineChars="20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一是强化高新技术企业培育。制定高新技术企业“倍增”方案，聚焦我市主导产业和战略性新兴产业发展需求，摸排遴选一批高成长型科技企业，制定市、县区培育清单，形成“科技型中小企业—高新技术培育企业—高新技术企业”的培育机制。坚持分类指导、精准施策，对需重新认定的高新技术企业进行重点辅导。引进培育一批研发投入大、技术水平高、综合效益好的创新型企业，鼓励企业加大技术改造力度，实现产业转型升级，壮大高企后备力量。</w:t>
      </w:r>
    </w:p>
    <w:p>
      <w:pPr>
        <w:spacing w:line="600" w:lineRule="exact"/>
        <w:ind w:firstLine="640" w:firstLineChars="20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二是壮大科技型中小企业队伍。实施科技型中小企业“倍增”行动，鼓励科技型中小企业与高校科研院开展产学研，提升企业知识产权的数量和质量。提升孵化器和众创空间在孵企业质量，遴选一批优质企业，进入科技型中小企业队伍。探索科技贷、科技保险等金融服务模式，破解科技型中小企业贷款困境。落实好研发费用加计扣除等优惠政策，激发创新创业活力。开展科技型中小企业评价入库工作，做到应评尽评、应入尽入。</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contextualSpacing/>
        <w:jc w:val="both"/>
        <w:textAlignment w:val="auto"/>
        <w:outlineLvl w:val="9"/>
        <w:rPr>
          <w:rFonts w:hint="eastAsia" w:ascii="方正仿宋_GBK" w:hAnsi="方正仿宋_GBK" w:eastAsia="方正仿宋_GBK" w:cs="方正仿宋_GBK"/>
          <w:b/>
          <w:bCs/>
          <w:color w:val="auto"/>
          <w:spacing w:val="0"/>
          <w:w w:val="100"/>
          <w:kern w:val="0"/>
          <w:sz w:val="32"/>
          <w:szCs w:val="32"/>
          <w:highlight w:val="none"/>
          <w:lang w:eastAsia="zh-CN"/>
        </w:rPr>
      </w:pPr>
      <w:r>
        <w:rPr>
          <w:rFonts w:hint="eastAsia" w:ascii="方正仿宋_GBK" w:hAnsi="方正仿宋_GBK" w:eastAsia="方正仿宋_GBK" w:cs="方正仿宋_GBK"/>
          <w:b/>
          <w:bCs/>
          <w:color w:val="auto"/>
          <w:spacing w:val="0"/>
          <w:w w:val="100"/>
          <w:kern w:val="0"/>
          <w:sz w:val="32"/>
          <w:szCs w:val="32"/>
          <w:highlight w:val="none"/>
          <w:lang w:eastAsia="zh-CN"/>
        </w:rPr>
        <w:t>（</w:t>
      </w:r>
      <w:r>
        <w:rPr>
          <w:rFonts w:hint="eastAsia" w:ascii="方正仿宋_GBK" w:hAnsi="方正仿宋_GBK" w:eastAsia="方正仿宋_GBK" w:cs="方正仿宋_GBK"/>
          <w:b/>
          <w:bCs/>
          <w:color w:val="auto"/>
          <w:spacing w:val="0"/>
          <w:w w:val="100"/>
          <w:kern w:val="0"/>
          <w:sz w:val="32"/>
          <w:szCs w:val="32"/>
          <w:highlight w:val="none"/>
          <w:lang w:val="en-US" w:eastAsia="zh-CN"/>
        </w:rPr>
        <w:t>二</w:t>
      </w:r>
      <w:r>
        <w:rPr>
          <w:rFonts w:hint="eastAsia" w:ascii="方正仿宋_GBK" w:hAnsi="方正仿宋_GBK" w:eastAsia="方正仿宋_GBK" w:cs="方正仿宋_GBK"/>
          <w:b/>
          <w:bCs/>
          <w:color w:val="auto"/>
          <w:spacing w:val="0"/>
          <w:w w:val="100"/>
          <w:kern w:val="0"/>
          <w:sz w:val="32"/>
          <w:szCs w:val="32"/>
          <w:highlight w:val="none"/>
          <w:lang w:eastAsia="zh-CN"/>
        </w:rPr>
        <w:t>）聚焦“双提升”行动，进一步增强科技成果转化效率</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color w:val="auto"/>
          <w:sz w:val="32"/>
          <w:szCs w:val="32"/>
        </w:rPr>
        <w:t>一是深化大院大</w:t>
      </w:r>
      <w:r>
        <w:rPr>
          <w:rFonts w:hint="eastAsia" w:ascii="Times New Roman" w:hAnsi="Times New Roman" w:eastAsia="仿宋_GB2312" w:cs="仿宋_GB2312"/>
          <w:sz w:val="32"/>
          <w:szCs w:val="32"/>
        </w:rPr>
        <w:t>所合作。持续推进“攀亲结缘”工程，争取上海、合肥等高校院所来六安设立分支机构。编制《加快安徽工研院六安院科技成果转移转化工作方案》，加速六安院科技成果转化步伐。发挥安徽大学国家大学科技园六安分园引领作用，引进一批企业入驻六安高新区并培育成高新技术企业。</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二是加速科技成果转化。继续参与科大讯飞“iFLYTEK A.I.开发者”大赛，召开六安专场推介会，遴选一批成长性好、科技含量高、符合我市主导产业发展需求的科技项目在我市转化落地。落实“双链融合专员”制度，帮助企业凝练技术需求，捕捉先进科技成果。常态化开展科技要素集中对接活动，搭建技术需求和科技成果精准对接的桥梁。</w:t>
      </w:r>
    </w:p>
    <w:p>
      <w:pPr>
        <w:keepNext w:val="0"/>
        <w:keepLines w:val="0"/>
        <w:widowControl/>
        <w:numPr>
          <w:ilvl w:val="0"/>
          <w:numId w:val="1"/>
        </w:numPr>
        <w:suppressLineNumbers w:val="0"/>
        <w:ind w:left="0" w:leftChars="0" w:firstLine="620" w:firstLineChars="20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存在问题及原因分析 </w:t>
      </w:r>
    </w:p>
    <w:p>
      <w:pPr>
        <w:pStyle w:val="2"/>
        <w:numPr>
          <w:ilvl w:val="1"/>
          <w:numId w:val="0"/>
        </w:numPr>
        <w:spacing w:line="560" w:lineRule="atLeast"/>
        <w:ind w:firstLine="643" w:firstLineChars="200"/>
        <w:rPr>
          <w:rFonts w:hint="default" w:eastAsia="仿宋_GB2312"/>
          <w:bCs/>
          <w:color w:val="000000" w:themeColor="text1"/>
          <w:sz w:val="32"/>
          <w:szCs w:val="32"/>
          <w:lang w:val="en-US" w:eastAsia="zh-CN"/>
          <w14:textFill>
            <w14:solidFill>
              <w14:schemeClr w14:val="tx1"/>
            </w14:solidFill>
          </w14:textFill>
        </w:rPr>
      </w:pPr>
      <w:bookmarkStart w:id="0" w:name="_Toc139109040"/>
      <w:bookmarkStart w:id="1" w:name="_Toc137043924"/>
      <w:r>
        <w:rPr>
          <w:rFonts w:hint="eastAsia" w:ascii="楷体_GB2312" w:hAnsi="楷体_GB2312" w:eastAsia="楷体_GB2312" w:cs="楷体_GB2312"/>
          <w:b/>
          <w:bCs w:val="0"/>
          <w:color w:val="000000" w:themeColor="text1"/>
          <w:lang w:val="en-US" w:eastAsia="zh-CN"/>
          <w14:textFill>
            <w14:solidFill>
              <w14:schemeClr w14:val="tx1"/>
            </w14:solidFill>
          </w14:textFill>
        </w:rPr>
        <w:t>一是</w:t>
      </w:r>
      <w:r>
        <w:rPr>
          <w:rFonts w:hint="eastAsia" w:ascii="楷体_GB2312" w:hAnsi="楷体_GB2312" w:eastAsia="楷体_GB2312" w:cs="楷体_GB2312"/>
          <w:b/>
          <w:bCs w:val="0"/>
          <w:color w:val="000000" w:themeColor="text1"/>
          <w14:textFill>
            <w14:solidFill>
              <w14:schemeClr w14:val="tx1"/>
            </w14:solidFill>
          </w14:textFill>
        </w:rPr>
        <w:t>“涉企系统”项目申报信息录入不完备</w:t>
      </w:r>
      <w:bookmarkEnd w:id="0"/>
      <w:bookmarkEnd w:id="1"/>
      <w:r>
        <w:rPr>
          <w:rFonts w:hint="eastAsia" w:ascii="楷体_GB2312" w:hAnsi="楷体_GB2312" w:eastAsia="楷体_GB2312" w:cs="楷体_GB2312"/>
          <w:b/>
          <w:bCs w:val="0"/>
          <w:color w:val="000000" w:themeColor="text1"/>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根据《六安市财政局关于进一步做好财政涉企项目资金管理信息系统应用工作的通知》要求</w:t>
      </w:r>
      <w:r>
        <w:rPr>
          <w:rFonts w:hint="eastAsia" w:eastAsia="仿宋_GB2312"/>
          <w:bCs/>
          <w:color w:val="000000" w:themeColor="text1"/>
          <w:sz w:val="32"/>
          <w:szCs w:val="32"/>
          <w14:textFill>
            <w14:solidFill>
              <w14:schemeClr w14:val="tx1"/>
            </w14:solidFill>
          </w14:textFill>
        </w:rPr>
        <w:t>，</w:t>
      </w:r>
      <w:r>
        <w:rPr>
          <w:rFonts w:eastAsia="仿宋_GB2312"/>
          <w:bCs/>
          <w:color w:val="000000" w:themeColor="text1"/>
          <w:sz w:val="32"/>
          <w:szCs w:val="32"/>
          <w14:textFill>
            <w14:solidFill>
              <w14:schemeClr w14:val="tx1"/>
            </w14:solidFill>
          </w14:textFill>
        </w:rPr>
        <w:t>市直主管部门负责在涉企系统中录入项目申报信息做到应录尽录</w:t>
      </w:r>
      <w:r>
        <w:rPr>
          <w:rFonts w:hint="eastAsia" w:eastAsia="仿宋_GB2312"/>
          <w:bCs/>
          <w:color w:val="000000" w:themeColor="text1"/>
          <w:sz w:val="32"/>
          <w:szCs w:val="32"/>
          <w14:textFill>
            <w14:solidFill>
              <w14:schemeClr w14:val="tx1"/>
            </w14:solidFill>
          </w14:textFill>
        </w:rPr>
        <w:t>；2</w:t>
      </w:r>
      <w:r>
        <w:rPr>
          <w:rFonts w:eastAsia="仿宋_GB2312"/>
          <w:bCs/>
          <w:color w:val="000000" w:themeColor="text1"/>
          <w:sz w:val="32"/>
          <w:szCs w:val="32"/>
          <w14:textFill>
            <w14:solidFill>
              <w14:schemeClr w14:val="tx1"/>
            </w14:solidFill>
          </w14:textFill>
        </w:rPr>
        <w:t>022</w:t>
      </w:r>
      <w:r>
        <w:rPr>
          <w:rFonts w:hint="eastAsia" w:eastAsia="仿宋_GB2312"/>
          <w:bCs/>
          <w:color w:val="000000" w:themeColor="text1"/>
          <w:sz w:val="32"/>
          <w:szCs w:val="32"/>
          <w14:textFill>
            <w14:solidFill>
              <w14:schemeClr w14:val="tx1"/>
            </w14:solidFill>
          </w14:textFill>
        </w:rPr>
        <w:t>年孵化资金补助1</w:t>
      </w:r>
      <w:r>
        <w:rPr>
          <w:rFonts w:eastAsia="仿宋_GB2312"/>
          <w:bCs/>
          <w:color w:val="000000" w:themeColor="text1"/>
          <w:sz w:val="32"/>
          <w:szCs w:val="32"/>
          <w14:textFill>
            <w14:solidFill>
              <w14:schemeClr w14:val="tx1"/>
            </w14:solidFill>
          </w14:textFill>
        </w:rPr>
        <w:t>76</w:t>
      </w:r>
      <w:r>
        <w:rPr>
          <w:rFonts w:hint="eastAsia" w:eastAsia="仿宋_GB2312"/>
          <w:bCs/>
          <w:color w:val="000000" w:themeColor="text1"/>
          <w:sz w:val="32"/>
          <w:szCs w:val="32"/>
          <w14:textFill>
            <w14:solidFill>
              <w14:schemeClr w14:val="tx1"/>
            </w14:solidFill>
          </w14:textFill>
        </w:rPr>
        <w:t>万元（1</w:t>
      </w:r>
      <w:r>
        <w:rPr>
          <w:rFonts w:eastAsia="仿宋_GB2312"/>
          <w:bCs/>
          <w:color w:val="000000" w:themeColor="text1"/>
          <w:sz w:val="32"/>
          <w:szCs w:val="32"/>
          <w14:textFill>
            <w14:solidFill>
              <w14:schemeClr w14:val="tx1"/>
            </w14:solidFill>
          </w14:textFill>
        </w:rPr>
        <w:t>1</w:t>
      </w:r>
      <w:r>
        <w:rPr>
          <w:rFonts w:hint="eastAsia" w:eastAsia="仿宋_GB2312"/>
          <w:bCs/>
          <w:color w:val="000000" w:themeColor="text1"/>
          <w:sz w:val="32"/>
          <w:szCs w:val="32"/>
          <w14:textFill>
            <w14:solidFill>
              <w14:schemeClr w14:val="tx1"/>
            </w14:solidFill>
          </w14:textFill>
        </w:rPr>
        <w:t>个项目），未录入“涉企系统”。</w:t>
      </w:r>
      <w:r>
        <w:rPr>
          <w:rFonts w:hint="eastAsia" w:eastAsia="仿宋_GB2312"/>
          <w:bCs/>
          <w:color w:val="000000" w:themeColor="text1"/>
          <w:sz w:val="32"/>
          <w:szCs w:val="32"/>
          <w:lang w:val="en-US" w:eastAsia="zh-CN"/>
          <w14:textFill>
            <w14:solidFill>
              <w14:schemeClr w14:val="tx1"/>
            </w14:solidFill>
          </w14:textFill>
        </w:rPr>
        <w:t>主要原因为2022年“涉企系统”暂不成熟，项目资金按文件要求及时进行线下申报。</w:t>
      </w:r>
    </w:p>
    <w:p>
      <w:pPr>
        <w:spacing w:line="580" w:lineRule="exact"/>
        <w:ind w:firstLine="643" w:firstLineChars="200"/>
        <w:outlineLvl w:val="1"/>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二是</w:t>
      </w:r>
      <w:r>
        <w:rPr>
          <w:rFonts w:hint="eastAsia" w:ascii="楷体_GB2312" w:hAnsi="楷体_GB2312" w:eastAsia="楷体_GB2312" w:cs="楷体_GB2312"/>
          <w:b/>
          <w:bCs/>
          <w:color w:val="000000" w:themeColor="text1"/>
          <w:sz w:val="32"/>
          <w:szCs w:val="32"/>
          <w14:textFill>
            <w14:solidFill>
              <w14:schemeClr w14:val="tx1"/>
            </w14:solidFill>
          </w14:textFill>
        </w:rPr>
        <w:t>项目资金未单独核算</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我</w:t>
      </w:r>
      <w:r>
        <w:rPr>
          <w:rFonts w:eastAsia="仿宋_GB2312"/>
          <w:color w:val="000000" w:themeColor="text1"/>
          <w:sz w:val="32"/>
          <w:szCs w:val="32"/>
          <w14:textFill>
            <w14:solidFill>
              <w14:schemeClr w14:val="tx1"/>
            </w14:solidFill>
          </w14:textFill>
        </w:rPr>
        <w:t>局2022年拨付市科创中心孵化资金共计177.02</w:t>
      </w:r>
      <w:r>
        <w:rPr>
          <w:rFonts w:hint="eastAsia" w:eastAsia="仿宋_GB2312"/>
          <w:color w:val="000000" w:themeColor="text1"/>
          <w:sz w:val="32"/>
          <w:szCs w:val="32"/>
          <w14:textFill>
            <w14:solidFill>
              <w14:schemeClr w14:val="tx1"/>
            </w14:solidFill>
          </w14:textFill>
        </w:rPr>
        <w:t>万</w:t>
      </w:r>
      <w:r>
        <w:rPr>
          <w:rFonts w:eastAsia="仿宋_GB2312"/>
          <w:color w:val="000000" w:themeColor="text1"/>
          <w:sz w:val="32"/>
          <w:szCs w:val="32"/>
          <w14:textFill>
            <w14:solidFill>
              <w14:schemeClr w14:val="tx1"/>
            </w14:solidFill>
          </w14:textFill>
        </w:rPr>
        <w:t>元，拨付省（市）属高校和科研机构</w:t>
      </w:r>
      <w:r>
        <w:rPr>
          <w:rFonts w:hint="eastAsia" w:eastAsia="仿宋_GB2312"/>
          <w:color w:val="000000" w:themeColor="text1"/>
          <w:sz w:val="32"/>
          <w:szCs w:val="32"/>
          <w14:textFill>
            <w14:solidFill>
              <w14:schemeClr w14:val="tx1"/>
            </w14:solidFill>
          </w14:textFill>
        </w:rPr>
        <w:t>创新驱动发展专项资金</w:t>
      </w:r>
      <w:r>
        <w:rPr>
          <w:rFonts w:eastAsia="仿宋_GB2312"/>
          <w:color w:val="000000" w:themeColor="text1"/>
          <w:sz w:val="32"/>
          <w:szCs w:val="32"/>
          <w14:textFill>
            <w14:solidFill>
              <w14:schemeClr w14:val="tx1"/>
            </w14:solidFill>
          </w14:textFill>
        </w:rPr>
        <w:t>399.80</w:t>
      </w:r>
      <w:r>
        <w:rPr>
          <w:rFonts w:hint="eastAsia" w:eastAsia="仿宋_GB2312"/>
          <w:color w:val="000000" w:themeColor="text1"/>
          <w:sz w:val="32"/>
          <w:szCs w:val="32"/>
          <w14:textFill>
            <w14:solidFill>
              <w14:schemeClr w14:val="tx1"/>
            </w14:solidFill>
          </w14:textFill>
        </w:rPr>
        <w:t>万</w:t>
      </w:r>
      <w:r>
        <w:rPr>
          <w:rFonts w:eastAsia="仿宋_GB2312"/>
          <w:color w:val="000000" w:themeColor="text1"/>
          <w:sz w:val="32"/>
          <w:szCs w:val="32"/>
          <w14:textFill>
            <w14:solidFill>
              <w14:schemeClr w14:val="tx1"/>
            </w14:solidFill>
          </w14:textFill>
        </w:rPr>
        <w:t>元</w:t>
      </w:r>
      <w:r>
        <w:rPr>
          <w:rFonts w:hint="eastAsia" w:eastAsia="仿宋_GB2312"/>
          <w:color w:val="000000" w:themeColor="text1"/>
          <w:sz w:val="32"/>
          <w:szCs w:val="32"/>
          <w14:textFill>
            <w14:solidFill>
              <w14:schemeClr w14:val="tx1"/>
            </w14:solidFill>
          </w14:textFill>
        </w:rPr>
        <w:t>。市科技局在账务处理时直接通过</w:t>
      </w:r>
      <w:r>
        <w:rPr>
          <w:rFonts w:eastAsia="仿宋_GB2312"/>
          <w:color w:val="000000" w:themeColor="text1"/>
          <w:sz w:val="32"/>
          <w:szCs w:val="32"/>
          <w14:textFill>
            <w14:solidFill>
              <w14:schemeClr w14:val="tx1"/>
            </w14:solidFill>
          </w14:textFill>
        </w:rPr>
        <w:t>“71010102项目支出”会计科目核算，未按项目进行单独核算。</w:t>
      </w:r>
      <w:r>
        <w:rPr>
          <w:rFonts w:hint="eastAsia" w:eastAsia="仿宋_GB2312"/>
          <w:color w:val="000000" w:themeColor="text1"/>
          <w:sz w:val="32"/>
          <w:szCs w:val="32"/>
          <w:lang w:val="en-US" w:eastAsia="zh-CN"/>
          <w14:textFill>
            <w14:solidFill>
              <w14:schemeClr w14:val="tx1"/>
            </w14:solidFill>
          </w14:textFill>
        </w:rPr>
        <w:t>主要原因为我局项目较少，且已建立项目辅助账。</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七、有关建议 </w:t>
      </w:r>
    </w:p>
    <w:p>
      <w:pPr>
        <w:spacing w:line="580" w:lineRule="exact"/>
        <w:ind w:firstLine="643" w:firstLineChars="200"/>
        <w:outlineLvl w:val="1"/>
        <w:rPr>
          <w:rFonts w:hint="eastAsia" w:eastAsia="仿宋_GB2312"/>
          <w:bCs/>
          <w:color w:val="000000" w:themeColor="text1"/>
          <w:sz w:val="32"/>
          <w:szCs w:val="32"/>
          <w14:textFill>
            <w14:solidFill>
              <w14:schemeClr w14:val="tx1"/>
            </w14:solidFill>
          </w14:textFill>
        </w:rPr>
      </w:pPr>
      <w:bookmarkStart w:id="2" w:name="_Toc139109047"/>
      <w:bookmarkStart w:id="3" w:name="_Toc137043932"/>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一是</w:t>
      </w:r>
      <w:r>
        <w:rPr>
          <w:rFonts w:hint="eastAsia" w:ascii="楷体_GB2312" w:hAnsi="楷体_GB2312" w:eastAsia="楷体_GB2312" w:cs="楷体_GB2312"/>
          <w:b/>
          <w:bCs/>
          <w:color w:val="000000" w:themeColor="text1"/>
          <w:sz w:val="32"/>
          <w:szCs w:val="32"/>
          <w14:textFill>
            <w14:solidFill>
              <w14:schemeClr w14:val="tx1"/>
            </w14:solidFill>
          </w14:textFill>
        </w:rPr>
        <w:t>充分发挥“涉企系统”对项目申报的保障作用</w:t>
      </w:r>
      <w:bookmarkEnd w:id="2"/>
      <w:bookmarkEnd w:id="3"/>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14:textFill>
            <w14:solidFill>
              <w14:schemeClr w14:val="tx1"/>
            </w14:solidFill>
          </w14:textFill>
        </w:rPr>
        <w:t>项目申报信息要及时录入“涉企系统”；通过对涉企项目数据采集、信息预警、资金审核和财政监督，切实解决少数企业虚假申报、多头申报、重复享受补贴补助等问题，逐步加强财政涉企资金的管理监督，充分发挥“涉企系统”对项目申报的保障作用。</w:t>
      </w:r>
    </w:p>
    <w:p>
      <w:pPr>
        <w:spacing w:line="580" w:lineRule="exact"/>
        <w:ind w:firstLine="643" w:firstLineChars="200"/>
        <w:outlineLvl w:val="1"/>
        <w:rPr>
          <w:rFonts w:eastAsia="仿宋_GB2312"/>
          <w:sz w:val="32"/>
          <w:szCs w:val="32"/>
        </w:rPr>
      </w:pPr>
      <w:bookmarkStart w:id="4" w:name="_Toc139109049"/>
      <w:bookmarkStart w:id="5" w:name="_Toc137043934"/>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二是</w:t>
      </w:r>
      <w:r>
        <w:rPr>
          <w:rFonts w:hint="eastAsia" w:ascii="楷体_GB2312" w:hAnsi="楷体_GB2312" w:eastAsia="楷体_GB2312" w:cs="楷体_GB2312"/>
          <w:b/>
          <w:bCs/>
          <w:color w:val="000000" w:themeColor="text1"/>
          <w:sz w:val="32"/>
          <w:szCs w:val="32"/>
          <w14:textFill>
            <w14:solidFill>
              <w14:schemeClr w14:val="tx1"/>
            </w14:solidFill>
          </w14:textFill>
        </w:rPr>
        <w:t>对项目资金进行单独核算</w:t>
      </w:r>
      <w:bookmarkEnd w:id="4"/>
      <w:bookmarkEnd w:id="5"/>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eastAsia="仿宋_GB2312"/>
          <w:sz w:val="32"/>
          <w:szCs w:val="32"/>
        </w:rPr>
        <w:t>对项目</w:t>
      </w:r>
      <w:r>
        <w:rPr>
          <w:rFonts w:hint="eastAsia" w:eastAsia="仿宋_GB2312"/>
          <w:sz w:val="32"/>
          <w:szCs w:val="32"/>
        </w:rPr>
        <w:t>资金</w:t>
      </w:r>
      <w:r>
        <w:rPr>
          <w:rFonts w:eastAsia="仿宋_GB2312"/>
          <w:sz w:val="32"/>
          <w:szCs w:val="32"/>
        </w:rPr>
        <w:t>进行单独核算，准确核算项目财政资金下拨、支付及结余情况，确保资金</w:t>
      </w:r>
      <w:r>
        <w:rPr>
          <w:rFonts w:hint="eastAsia" w:eastAsia="仿宋_GB2312"/>
          <w:sz w:val="32"/>
          <w:szCs w:val="32"/>
        </w:rPr>
        <w:t>核算清晰、</w:t>
      </w:r>
      <w:r>
        <w:rPr>
          <w:rFonts w:eastAsia="仿宋_GB2312"/>
          <w:sz w:val="32"/>
          <w:szCs w:val="32"/>
        </w:rPr>
        <w:t>专款专用。</w:t>
      </w:r>
    </w:p>
    <w:p>
      <w:pPr>
        <w:pStyle w:val="2"/>
      </w:pPr>
    </w:p>
    <w:p/>
    <w:p>
      <w:pPr>
        <w:pStyle w:val="3"/>
        <w:keepNext w:val="0"/>
        <w:keepLines w:val="0"/>
        <w:pageBreakBefore w:val="0"/>
        <w:widowControl w:val="0"/>
        <w:numPr>
          <w:ilvl w:val="0"/>
          <w:numId w:val="0"/>
        </w:numPr>
        <w:kinsoku/>
        <w:wordWrap/>
        <w:overflowPunct/>
        <w:topLinePunct w:val="0"/>
        <w:bidi w:val="0"/>
        <w:spacing w:line="600" w:lineRule="exact"/>
        <w:ind w:right="0" w:rightChars="0"/>
        <w:jc w:val="both"/>
        <w:textAlignment w:val="auto"/>
        <w:rPr>
          <w:rFonts w:hint="eastAsia" w:ascii="仿宋" w:hAnsi="仿宋" w:eastAsia="仿宋" w:cs="仿宋"/>
          <w:sz w:val="32"/>
          <w:szCs w:val="32"/>
          <w:highlight w:val="none"/>
          <w:lang w:val="en-US" w:eastAsia="zh-CN"/>
        </w:rPr>
      </w:pPr>
    </w:p>
    <w:p>
      <w:pPr>
        <w:pStyle w:val="3"/>
        <w:keepNext w:val="0"/>
        <w:keepLines w:val="0"/>
        <w:pageBreakBefore w:val="0"/>
        <w:widowControl w:val="0"/>
        <w:numPr>
          <w:ilvl w:val="0"/>
          <w:numId w:val="0"/>
        </w:numPr>
        <w:kinsoku/>
        <w:wordWrap/>
        <w:overflowPunct/>
        <w:topLinePunct w:val="0"/>
        <w:bidi w:val="0"/>
        <w:spacing w:line="600" w:lineRule="exact"/>
        <w:ind w:left="0" w:leftChars="0" w:right="0" w:rightChars="0"/>
        <w:jc w:val="both"/>
        <w:textAlignment w:val="auto"/>
        <w:rPr>
          <w:rFonts w:hint="eastAsia" w:ascii="仿宋" w:hAnsi="仿宋" w:eastAsia="仿宋" w:cs="仿宋"/>
          <w:sz w:val="32"/>
          <w:szCs w:val="32"/>
          <w:highlight w:val="yellow"/>
          <w:lang w:val="en-US" w:eastAsia="zh-CN"/>
        </w:rPr>
      </w:pPr>
    </w:p>
    <w:p>
      <w:pPr>
        <w:pStyle w:val="3"/>
        <w:keepNext w:val="0"/>
        <w:keepLines w:val="0"/>
        <w:pageBreakBefore w:val="0"/>
        <w:widowControl w:val="0"/>
        <w:numPr>
          <w:ilvl w:val="0"/>
          <w:numId w:val="0"/>
        </w:numPr>
        <w:kinsoku/>
        <w:wordWrap/>
        <w:overflowPunct/>
        <w:topLinePunct w:val="0"/>
        <w:bidi w:val="0"/>
        <w:spacing w:line="600" w:lineRule="exact"/>
        <w:ind w:left="0" w:leftChars="0" w:right="0" w:rightChars="0"/>
        <w:jc w:val="right"/>
        <w:textAlignment w:val="auto"/>
        <w:rPr>
          <w:rFonts w:hint="eastAsia" w:ascii="方正仿宋_GBK" w:hAnsi="方正仿宋_GBK" w:eastAsia="方正仿宋_GBK" w:cs="方正仿宋_GBK"/>
          <w:b w:val="0"/>
          <w:color w:val="000000"/>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bidi w:val="0"/>
        <w:spacing w:line="600" w:lineRule="exact"/>
        <w:ind w:left="0" w:leftChars="0" w:right="0" w:rightChars="0"/>
        <w:jc w:val="right"/>
        <w:textAlignment w:val="auto"/>
        <w:rPr>
          <w:rFonts w:hint="eastAsia" w:ascii="方正仿宋_GBK" w:hAnsi="方正仿宋_GBK" w:eastAsia="方正仿宋_GBK" w:cs="方正仿宋_GBK"/>
          <w:b w:val="0"/>
          <w:color w:val="000000"/>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bidi w:val="0"/>
        <w:spacing w:line="600" w:lineRule="exact"/>
        <w:ind w:left="0" w:leftChars="0" w:right="0" w:rightChars="0"/>
        <w:jc w:val="right"/>
        <w:textAlignment w:val="auto"/>
        <w:rPr>
          <w:rFonts w:hint="eastAsia" w:ascii="方正仿宋_GBK" w:hAnsi="方正仿宋_GBK" w:eastAsia="方正仿宋_GBK" w:cs="方正仿宋_GBK"/>
          <w:b w:val="0"/>
          <w:color w:val="000000"/>
          <w:kern w:val="2"/>
          <w:sz w:val="32"/>
          <w:szCs w:val="32"/>
          <w:lang w:val="en-US" w:eastAsia="zh-CN" w:bidi="ar-SA"/>
        </w:rPr>
      </w:pPr>
      <w:r>
        <w:rPr>
          <w:rFonts w:hint="eastAsia" w:ascii="方正仿宋_GBK" w:hAnsi="方正仿宋_GBK" w:eastAsia="方正仿宋_GBK" w:cs="方正仿宋_GBK"/>
          <w:b w:val="0"/>
          <w:color w:val="000000"/>
          <w:kern w:val="2"/>
          <w:sz w:val="32"/>
          <w:szCs w:val="32"/>
          <w:lang w:val="en-US" w:eastAsia="zh-CN" w:bidi="ar-SA"/>
        </w:rPr>
        <w:t>六安市科学技术局</w:t>
      </w:r>
    </w:p>
    <w:p>
      <w:pPr>
        <w:pStyle w:val="3"/>
        <w:keepNext w:val="0"/>
        <w:keepLines w:val="0"/>
        <w:pageBreakBefore w:val="0"/>
        <w:widowControl w:val="0"/>
        <w:numPr>
          <w:ilvl w:val="0"/>
          <w:numId w:val="0"/>
        </w:numPr>
        <w:kinsoku/>
        <w:wordWrap/>
        <w:overflowPunct/>
        <w:topLinePunct w:val="0"/>
        <w:bidi w:val="0"/>
        <w:spacing w:line="600" w:lineRule="exact"/>
        <w:ind w:left="0" w:leftChars="0" w:right="0" w:rightChars="0"/>
        <w:jc w:val="right"/>
        <w:textAlignment w:val="auto"/>
        <w:rPr>
          <w:rFonts w:hint="eastAsia" w:ascii="方正仿宋_GBK" w:hAnsi="方正仿宋_GBK" w:eastAsia="方正仿宋_GBK" w:cs="方正仿宋_GBK"/>
          <w:b w:val="0"/>
          <w:color w:val="000000"/>
          <w:kern w:val="2"/>
          <w:sz w:val="32"/>
          <w:szCs w:val="32"/>
          <w:lang w:val="en-US" w:eastAsia="zh-CN" w:bidi="ar-SA"/>
        </w:rPr>
      </w:pPr>
      <w:r>
        <w:rPr>
          <w:rFonts w:hint="eastAsia" w:ascii="方正仿宋_GBK" w:hAnsi="方正仿宋_GBK" w:eastAsia="方正仿宋_GBK" w:cs="方正仿宋_GBK"/>
          <w:b w:val="0"/>
          <w:color w:val="000000"/>
          <w:kern w:val="2"/>
          <w:sz w:val="32"/>
          <w:szCs w:val="32"/>
          <w:lang w:val="en-US" w:eastAsia="zh-CN" w:bidi="ar-SA"/>
        </w:rPr>
        <w:t>2023年5月30日</w:t>
      </w:r>
    </w:p>
    <w:p>
      <w:pPr>
        <w:pStyle w:val="3"/>
        <w:keepNext w:val="0"/>
        <w:keepLines w:val="0"/>
        <w:pageBreakBefore w:val="0"/>
        <w:widowControl w:val="0"/>
        <w:numPr>
          <w:ilvl w:val="0"/>
          <w:numId w:val="0"/>
        </w:numPr>
        <w:kinsoku/>
        <w:wordWrap/>
        <w:overflowPunct/>
        <w:topLinePunct w:val="0"/>
        <w:bidi w:val="0"/>
        <w:spacing w:line="600" w:lineRule="exact"/>
        <w:ind w:left="0" w:leftChars="0" w:right="0" w:rightChars="0"/>
        <w:jc w:val="right"/>
        <w:textAlignment w:val="auto"/>
        <w:rPr>
          <w:rFonts w:hint="eastAsia" w:ascii="方正仿宋_GBK" w:hAnsi="方正仿宋_GBK" w:eastAsia="方正仿宋_GBK" w:cs="方正仿宋_GBK"/>
          <w:b w:val="0"/>
          <w:color w:val="000000"/>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bidi w:val="0"/>
        <w:spacing w:line="600" w:lineRule="exact"/>
        <w:ind w:left="0" w:leftChars="0" w:right="0" w:rightChars="0"/>
        <w:jc w:val="right"/>
        <w:textAlignment w:val="auto"/>
        <w:rPr>
          <w:rFonts w:hint="eastAsia" w:ascii="方正仿宋_GBK" w:hAnsi="方正仿宋_GBK" w:eastAsia="方正仿宋_GBK" w:cs="方正仿宋_GBK"/>
          <w:b w:val="0"/>
          <w:color w:val="000000"/>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bidi w:val="0"/>
        <w:spacing w:line="600" w:lineRule="exact"/>
        <w:ind w:left="0" w:leftChars="0" w:right="0" w:rightChars="0"/>
        <w:jc w:val="right"/>
        <w:textAlignment w:val="auto"/>
        <w:rPr>
          <w:rFonts w:hint="eastAsia" w:ascii="方正仿宋_GBK" w:hAnsi="方正仿宋_GBK" w:eastAsia="方正仿宋_GBK" w:cs="方正仿宋_GBK"/>
          <w:b w:val="0"/>
          <w:color w:val="000000"/>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bidi w:val="0"/>
        <w:spacing w:line="600" w:lineRule="exact"/>
        <w:ind w:left="0" w:leftChars="0" w:right="0" w:rightChars="0"/>
        <w:jc w:val="right"/>
        <w:textAlignment w:val="auto"/>
        <w:rPr>
          <w:rFonts w:hint="eastAsia" w:ascii="方正仿宋_GBK" w:hAnsi="方正仿宋_GBK" w:eastAsia="方正仿宋_GBK" w:cs="方正仿宋_GBK"/>
          <w:b w:val="0"/>
          <w:color w:val="000000"/>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bidi w:val="0"/>
        <w:spacing w:line="600" w:lineRule="exact"/>
        <w:ind w:left="0" w:leftChars="0" w:right="0" w:rightChars="0"/>
        <w:jc w:val="right"/>
        <w:textAlignment w:val="auto"/>
        <w:rPr>
          <w:rFonts w:hint="eastAsia" w:ascii="方正仿宋_GBK" w:hAnsi="方正仿宋_GBK" w:eastAsia="方正仿宋_GBK" w:cs="方正仿宋_GBK"/>
          <w:b w:val="0"/>
          <w:color w:val="000000"/>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bidi w:val="0"/>
        <w:spacing w:line="600" w:lineRule="exact"/>
        <w:ind w:left="0" w:leftChars="0" w:right="0" w:rightChars="0"/>
        <w:jc w:val="right"/>
        <w:textAlignment w:val="auto"/>
        <w:rPr>
          <w:rFonts w:hint="eastAsia" w:ascii="方正仿宋_GBK" w:hAnsi="方正仿宋_GBK" w:eastAsia="方正仿宋_GBK" w:cs="方正仿宋_GBK"/>
          <w:b w:val="0"/>
          <w:color w:val="000000"/>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bidi w:val="0"/>
        <w:spacing w:line="600" w:lineRule="exact"/>
        <w:ind w:left="0" w:leftChars="0" w:right="0" w:rightChars="0"/>
        <w:jc w:val="right"/>
        <w:textAlignment w:val="auto"/>
        <w:rPr>
          <w:rFonts w:hint="eastAsia" w:ascii="方正仿宋_GBK" w:hAnsi="方正仿宋_GBK" w:eastAsia="方正仿宋_GBK" w:cs="方正仿宋_GBK"/>
          <w:b w:val="0"/>
          <w:color w:val="000000"/>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bidi w:val="0"/>
        <w:spacing w:line="600" w:lineRule="exact"/>
        <w:ind w:left="0" w:leftChars="0" w:right="0" w:rightChars="0"/>
        <w:jc w:val="right"/>
        <w:textAlignment w:val="auto"/>
        <w:rPr>
          <w:rFonts w:hint="eastAsia" w:ascii="方正仿宋_GBK" w:hAnsi="方正仿宋_GBK" w:eastAsia="方正仿宋_GBK" w:cs="方正仿宋_GBK"/>
          <w:b w:val="0"/>
          <w:color w:val="000000"/>
          <w:kern w:val="2"/>
          <w:sz w:val="32"/>
          <w:szCs w:val="32"/>
          <w:lang w:val="en-US" w:eastAsia="zh-CN" w:bidi="ar-SA"/>
        </w:rPr>
      </w:pPr>
    </w:p>
    <w:p>
      <w:pPr>
        <w:rPr>
          <w:rFonts w:hint="eastAsia"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pStyle w:val="2"/>
        <w:rPr>
          <w:rFonts w:hint="eastAsia"/>
        </w:rPr>
      </w:pPr>
    </w:p>
    <w:p>
      <w:pPr>
        <w:rPr>
          <w:rFonts w:ascii="黑体" w:hAnsi="黑体" w:eastAsia="黑体" w:cs="黑体"/>
          <w:sz w:val="32"/>
          <w:szCs w:val="32"/>
        </w:rPr>
      </w:pPr>
      <w:r>
        <w:rPr>
          <w:rFonts w:hint="eastAsia" w:ascii="黑体" w:hAnsi="黑体" w:eastAsia="黑体" w:cs="黑体"/>
          <w:sz w:val="32"/>
          <w:szCs w:val="32"/>
        </w:rPr>
        <w:t>附件：</w:t>
      </w:r>
    </w:p>
    <w:p>
      <w:pPr>
        <w:spacing w:after="159" w:afterLines="50"/>
        <w:jc w:val="center"/>
        <w:rPr>
          <w:rFonts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2022年六安市创新驱动发展专项资金绩效评价评分表</w:t>
      </w:r>
    </w:p>
    <w:tbl>
      <w:tblPr>
        <w:tblStyle w:val="6"/>
        <w:tblW w:w="15351" w:type="dxa"/>
        <w:jc w:val="center"/>
        <w:tblLayout w:type="autofit"/>
        <w:tblCellMar>
          <w:top w:w="0" w:type="dxa"/>
          <w:left w:w="108" w:type="dxa"/>
          <w:bottom w:w="0" w:type="dxa"/>
          <w:right w:w="108" w:type="dxa"/>
        </w:tblCellMar>
      </w:tblPr>
      <w:tblGrid>
        <w:gridCol w:w="589"/>
        <w:gridCol w:w="993"/>
        <w:gridCol w:w="850"/>
        <w:gridCol w:w="851"/>
        <w:gridCol w:w="623"/>
        <w:gridCol w:w="2779"/>
        <w:gridCol w:w="4644"/>
        <w:gridCol w:w="17"/>
        <w:gridCol w:w="3384"/>
        <w:gridCol w:w="17"/>
        <w:gridCol w:w="587"/>
        <w:gridCol w:w="17"/>
      </w:tblGrid>
      <w:tr>
        <w:tblPrEx>
          <w:tblCellMar>
            <w:top w:w="0" w:type="dxa"/>
            <w:left w:w="108" w:type="dxa"/>
            <w:bottom w:w="0" w:type="dxa"/>
            <w:right w:w="108" w:type="dxa"/>
          </w:tblCellMar>
        </w:tblPrEx>
        <w:trPr>
          <w:trHeight w:val="525" w:hRule="atLeast"/>
          <w:tblHeader/>
          <w:jc w:val="center"/>
        </w:trPr>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kern w:val="0"/>
                <w:sz w:val="16"/>
                <w:szCs w:val="16"/>
              </w:rPr>
            </w:pPr>
            <w:r>
              <w:rPr>
                <w:rFonts w:hint="eastAsia" w:ascii="宋体" w:hAnsi="宋体"/>
                <w:b/>
                <w:bCs/>
                <w:color w:val="000000"/>
                <w:kern w:val="0"/>
                <w:sz w:val="16"/>
                <w:szCs w:val="16"/>
              </w:rPr>
              <w:t>序号</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kern w:val="0"/>
                <w:sz w:val="16"/>
                <w:szCs w:val="16"/>
              </w:rPr>
            </w:pPr>
            <w:r>
              <w:rPr>
                <w:rFonts w:hint="eastAsia" w:ascii="宋体" w:hAnsi="宋体"/>
                <w:b/>
                <w:bCs/>
                <w:color w:val="000000"/>
                <w:kern w:val="0"/>
                <w:sz w:val="16"/>
                <w:szCs w:val="16"/>
              </w:rPr>
              <w:t>一级指标</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kern w:val="0"/>
                <w:sz w:val="16"/>
                <w:szCs w:val="16"/>
              </w:rPr>
            </w:pPr>
            <w:r>
              <w:rPr>
                <w:rFonts w:hint="eastAsia" w:ascii="宋体" w:hAnsi="宋体"/>
                <w:b/>
                <w:bCs/>
                <w:color w:val="000000"/>
                <w:kern w:val="0"/>
                <w:sz w:val="16"/>
                <w:szCs w:val="16"/>
              </w:rPr>
              <w:t>二级指标</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kern w:val="0"/>
                <w:sz w:val="16"/>
                <w:szCs w:val="16"/>
              </w:rPr>
            </w:pPr>
            <w:r>
              <w:rPr>
                <w:rFonts w:hint="eastAsia" w:ascii="宋体" w:hAnsi="宋体"/>
                <w:b/>
                <w:bCs/>
                <w:color w:val="000000"/>
                <w:kern w:val="0"/>
                <w:sz w:val="16"/>
                <w:szCs w:val="16"/>
              </w:rPr>
              <w:t>三级指标</w:t>
            </w:r>
          </w:p>
        </w:tc>
        <w:tc>
          <w:tcPr>
            <w:tcW w:w="623"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kern w:val="0"/>
                <w:sz w:val="16"/>
                <w:szCs w:val="16"/>
              </w:rPr>
            </w:pPr>
            <w:r>
              <w:rPr>
                <w:rFonts w:hint="eastAsia" w:ascii="宋体" w:hAnsi="宋体"/>
                <w:b/>
                <w:bCs/>
                <w:color w:val="000000"/>
                <w:kern w:val="0"/>
                <w:sz w:val="16"/>
                <w:szCs w:val="16"/>
              </w:rPr>
              <w:t>分值</w:t>
            </w:r>
          </w:p>
        </w:tc>
        <w:tc>
          <w:tcPr>
            <w:tcW w:w="2779"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kern w:val="0"/>
                <w:sz w:val="16"/>
                <w:szCs w:val="16"/>
              </w:rPr>
            </w:pPr>
            <w:r>
              <w:rPr>
                <w:rFonts w:hint="eastAsia" w:ascii="宋体" w:hAnsi="宋体"/>
                <w:b/>
                <w:bCs/>
                <w:color w:val="000000"/>
                <w:kern w:val="0"/>
                <w:sz w:val="16"/>
                <w:szCs w:val="16"/>
              </w:rPr>
              <w:t>指标解释</w:t>
            </w:r>
          </w:p>
        </w:tc>
        <w:tc>
          <w:tcPr>
            <w:tcW w:w="466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kern w:val="0"/>
                <w:sz w:val="16"/>
                <w:szCs w:val="16"/>
              </w:rPr>
            </w:pPr>
            <w:r>
              <w:rPr>
                <w:rFonts w:hint="eastAsia" w:ascii="宋体" w:hAnsi="宋体"/>
                <w:b/>
                <w:bCs/>
                <w:color w:val="000000"/>
                <w:kern w:val="0"/>
                <w:sz w:val="16"/>
                <w:szCs w:val="16"/>
              </w:rPr>
              <w:t>指标说明</w:t>
            </w:r>
          </w:p>
        </w:tc>
        <w:tc>
          <w:tcPr>
            <w:tcW w:w="34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kern w:val="0"/>
                <w:sz w:val="16"/>
                <w:szCs w:val="16"/>
              </w:rPr>
            </w:pPr>
            <w:r>
              <w:rPr>
                <w:rFonts w:hint="eastAsia" w:ascii="宋体" w:hAnsi="宋体"/>
                <w:b/>
                <w:bCs/>
                <w:color w:val="000000"/>
                <w:kern w:val="0"/>
                <w:sz w:val="16"/>
                <w:szCs w:val="16"/>
              </w:rPr>
              <w:t>指标得分</w:t>
            </w:r>
          </w:p>
        </w:tc>
        <w:tc>
          <w:tcPr>
            <w:tcW w:w="6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kern w:val="0"/>
                <w:sz w:val="16"/>
                <w:szCs w:val="16"/>
              </w:rPr>
            </w:pPr>
            <w:r>
              <w:rPr>
                <w:rFonts w:hint="eastAsia" w:ascii="宋体" w:hAnsi="宋体"/>
                <w:b/>
                <w:bCs/>
                <w:color w:val="000000"/>
                <w:kern w:val="0"/>
                <w:sz w:val="16"/>
                <w:szCs w:val="16"/>
              </w:rPr>
              <w:t>分值</w:t>
            </w:r>
          </w:p>
        </w:tc>
      </w:tr>
      <w:tr>
        <w:tblPrEx>
          <w:tblCellMar>
            <w:top w:w="0" w:type="dxa"/>
            <w:left w:w="108" w:type="dxa"/>
            <w:bottom w:w="0" w:type="dxa"/>
            <w:right w:w="108" w:type="dxa"/>
          </w:tblCellMar>
        </w:tblPrEx>
        <w:trPr>
          <w:trHeight w:val="2010"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1</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决策</w:t>
            </w:r>
            <w:r>
              <w:rPr>
                <w:color w:val="000000"/>
                <w:kern w:val="0"/>
                <w:sz w:val="18"/>
                <w:szCs w:val="18"/>
              </w:rPr>
              <w:br w:type="textWrapping"/>
            </w:r>
            <w:r>
              <w:rPr>
                <w:rFonts w:hint="eastAsia" w:ascii="宋体" w:hAnsi="宋体"/>
                <w:color w:val="000000"/>
                <w:kern w:val="0"/>
                <w:sz w:val="18"/>
                <w:szCs w:val="18"/>
              </w:rPr>
              <w:t>（</w:t>
            </w:r>
            <w:r>
              <w:rPr>
                <w:color w:val="000000"/>
                <w:kern w:val="0"/>
                <w:sz w:val="18"/>
                <w:szCs w:val="18"/>
              </w:rPr>
              <w:t>15</w:t>
            </w:r>
            <w:r>
              <w:rPr>
                <w:rFonts w:hint="eastAsia" w:ascii="宋体" w:hAnsi="宋体"/>
                <w:color w:val="000000"/>
                <w:kern w:val="0"/>
                <w:sz w:val="18"/>
                <w:szCs w:val="18"/>
              </w:rPr>
              <w:t>分）</w:t>
            </w:r>
          </w:p>
        </w:tc>
        <w:tc>
          <w:tcPr>
            <w:tcW w:w="85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项目立项</w:t>
            </w:r>
            <w:r>
              <w:rPr>
                <w:color w:val="000000"/>
                <w:kern w:val="0"/>
                <w:sz w:val="18"/>
                <w:szCs w:val="18"/>
              </w:rPr>
              <w:br w:type="textWrapping"/>
            </w:r>
            <w:r>
              <w:rPr>
                <w:rFonts w:hint="eastAsia" w:ascii="宋体" w:hAnsi="宋体"/>
                <w:color w:val="000000"/>
                <w:kern w:val="0"/>
                <w:sz w:val="18"/>
                <w:szCs w:val="18"/>
              </w:rPr>
              <w:t>（</w:t>
            </w:r>
            <w:r>
              <w:rPr>
                <w:color w:val="000000"/>
                <w:kern w:val="0"/>
                <w:sz w:val="18"/>
                <w:szCs w:val="18"/>
              </w:rPr>
              <w:t>8</w:t>
            </w:r>
            <w:r>
              <w:rPr>
                <w:rFonts w:hint="eastAsia" w:ascii="宋体" w:hAnsi="宋体"/>
                <w:color w:val="000000"/>
                <w:kern w:val="0"/>
                <w:sz w:val="18"/>
                <w:szCs w:val="18"/>
              </w:rPr>
              <w:t>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立项依据充分性</w:t>
            </w:r>
          </w:p>
        </w:tc>
        <w:tc>
          <w:tcPr>
            <w:tcW w:w="62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w:t>
            </w:r>
          </w:p>
        </w:tc>
        <w:tc>
          <w:tcPr>
            <w:tcW w:w="2779"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ascii="宋体" w:hAnsi="宋体"/>
                <w:kern w:val="0"/>
                <w:sz w:val="18"/>
                <w:szCs w:val="18"/>
              </w:rPr>
              <w:t>通过对项目的申报材料进行评价，判断项目立项是否符合法律法规、相关政策、发展规划以及部门职责，用以反映和考核项目立项依据情况。</w:t>
            </w:r>
          </w:p>
        </w:tc>
        <w:tc>
          <w:tcPr>
            <w:tcW w:w="466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ascii="宋体" w:hAnsi="宋体"/>
                <w:kern w:val="0"/>
                <w:sz w:val="18"/>
                <w:szCs w:val="18"/>
              </w:rPr>
              <w:t>评价要点：</w:t>
            </w:r>
            <w:r>
              <w:rPr>
                <w:rFonts w:hint="eastAsia" w:ascii="宋体" w:hAnsi="宋体"/>
                <w:kern w:val="0"/>
                <w:sz w:val="18"/>
                <w:szCs w:val="18"/>
              </w:rPr>
              <w:br w:type="textWrapping"/>
            </w:r>
            <w:r>
              <w:rPr>
                <w:kern w:val="0"/>
                <w:sz w:val="18"/>
                <w:szCs w:val="18"/>
              </w:rPr>
              <w:t>1.</w:t>
            </w:r>
            <w:r>
              <w:rPr>
                <w:rFonts w:hint="eastAsia" w:ascii="宋体" w:hAnsi="宋体"/>
                <w:kern w:val="0"/>
                <w:sz w:val="18"/>
                <w:szCs w:val="18"/>
              </w:rPr>
              <w:t>项目立项是否符合国家法律法规、国民经济发展规划和相关政策，得</w:t>
            </w:r>
            <w:r>
              <w:rPr>
                <w:kern w:val="0"/>
                <w:sz w:val="18"/>
                <w:szCs w:val="18"/>
              </w:rPr>
              <w:t>2</w:t>
            </w:r>
            <w:r>
              <w:rPr>
                <w:rFonts w:hint="eastAsia" w:ascii="宋体" w:hAnsi="宋体"/>
                <w:kern w:val="0"/>
                <w:sz w:val="18"/>
                <w:szCs w:val="18"/>
              </w:rPr>
              <w:t>分，否则不得分；</w:t>
            </w:r>
            <w:r>
              <w:rPr>
                <w:kern w:val="0"/>
                <w:sz w:val="18"/>
                <w:szCs w:val="18"/>
              </w:rPr>
              <w:t xml:space="preserve">          </w:t>
            </w:r>
            <w:r>
              <w:rPr>
                <w:kern w:val="0"/>
                <w:sz w:val="18"/>
                <w:szCs w:val="18"/>
              </w:rPr>
              <w:br w:type="textWrapping"/>
            </w:r>
            <w:r>
              <w:rPr>
                <w:kern w:val="0"/>
                <w:sz w:val="18"/>
                <w:szCs w:val="18"/>
              </w:rPr>
              <w:t>2.</w:t>
            </w:r>
            <w:r>
              <w:rPr>
                <w:rFonts w:hint="eastAsia" w:ascii="宋体" w:hAnsi="宋体"/>
                <w:kern w:val="0"/>
                <w:sz w:val="18"/>
                <w:szCs w:val="18"/>
              </w:rPr>
              <w:t>项目立项是否符合行业发展规划和项目要求，得</w:t>
            </w:r>
            <w:r>
              <w:rPr>
                <w:kern w:val="0"/>
                <w:sz w:val="18"/>
                <w:szCs w:val="18"/>
              </w:rPr>
              <w:t>1</w:t>
            </w:r>
            <w:r>
              <w:rPr>
                <w:rFonts w:hint="eastAsia" w:ascii="宋体" w:hAnsi="宋体"/>
                <w:kern w:val="0"/>
                <w:sz w:val="18"/>
                <w:szCs w:val="18"/>
              </w:rPr>
              <w:t>分，否则不得分；</w:t>
            </w:r>
            <w:r>
              <w:rPr>
                <w:kern w:val="0"/>
                <w:sz w:val="18"/>
                <w:szCs w:val="18"/>
              </w:rPr>
              <w:t xml:space="preserve">   </w:t>
            </w:r>
            <w:r>
              <w:rPr>
                <w:kern w:val="0"/>
                <w:sz w:val="18"/>
                <w:szCs w:val="18"/>
              </w:rPr>
              <w:br w:type="textWrapping"/>
            </w:r>
            <w:r>
              <w:rPr>
                <w:kern w:val="0"/>
                <w:sz w:val="18"/>
                <w:szCs w:val="18"/>
              </w:rPr>
              <w:t>3.</w:t>
            </w:r>
            <w:r>
              <w:rPr>
                <w:rFonts w:hint="eastAsia" w:ascii="宋体" w:hAnsi="宋体"/>
                <w:kern w:val="0"/>
                <w:sz w:val="18"/>
                <w:szCs w:val="18"/>
              </w:rPr>
              <w:t>项目立项是否与部门职责范围相符，属于部门履职所需，得</w:t>
            </w:r>
            <w:r>
              <w:rPr>
                <w:kern w:val="0"/>
                <w:sz w:val="18"/>
                <w:szCs w:val="18"/>
              </w:rPr>
              <w:t>1</w:t>
            </w:r>
            <w:r>
              <w:rPr>
                <w:rFonts w:hint="eastAsia" w:ascii="宋体" w:hAnsi="宋体"/>
                <w:kern w:val="0"/>
                <w:sz w:val="18"/>
                <w:szCs w:val="18"/>
              </w:rPr>
              <w:t>分，否则不得分。</w:t>
            </w:r>
          </w:p>
        </w:tc>
        <w:tc>
          <w:tcPr>
            <w:tcW w:w="340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依据《关于实施创新驱动发展战略加快建设创新型六安的意见》（六发〔</w:t>
            </w:r>
            <w:r>
              <w:rPr>
                <w:color w:val="000000"/>
                <w:kern w:val="0"/>
                <w:sz w:val="18"/>
                <w:szCs w:val="18"/>
              </w:rPr>
              <w:t>2014</w:t>
            </w:r>
            <w:r>
              <w:rPr>
                <w:rFonts w:hint="eastAsia" w:ascii="宋体" w:hAnsi="宋体"/>
                <w:color w:val="000000"/>
                <w:kern w:val="0"/>
                <w:sz w:val="18"/>
                <w:szCs w:val="18"/>
              </w:rPr>
              <w:t>〕</w:t>
            </w:r>
            <w:r>
              <w:rPr>
                <w:color w:val="000000"/>
                <w:kern w:val="0"/>
                <w:sz w:val="18"/>
                <w:szCs w:val="18"/>
              </w:rPr>
              <w:t>9</w:t>
            </w:r>
            <w:r>
              <w:rPr>
                <w:rFonts w:hint="eastAsia" w:ascii="宋体" w:hAnsi="宋体"/>
                <w:color w:val="000000"/>
                <w:kern w:val="0"/>
                <w:sz w:val="18"/>
                <w:szCs w:val="18"/>
              </w:rPr>
              <w:t>号）、《六安市人民政府办公室</w:t>
            </w:r>
            <w:r>
              <w:rPr>
                <w:color w:val="000000"/>
                <w:kern w:val="0"/>
                <w:sz w:val="18"/>
                <w:szCs w:val="18"/>
              </w:rPr>
              <w:t>4</w:t>
            </w:r>
            <w:r>
              <w:rPr>
                <w:rFonts w:hint="eastAsia" w:ascii="宋体" w:hAnsi="宋体"/>
                <w:color w:val="000000"/>
                <w:kern w:val="0"/>
                <w:sz w:val="18"/>
                <w:szCs w:val="18"/>
              </w:rPr>
              <w:t>关于引导全社会加大研发投入的实施意见》（六政办秘〔</w:t>
            </w:r>
            <w:r>
              <w:rPr>
                <w:color w:val="000000"/>
                <w:kern w:val="0"/>
                <w:sz w:val="18"/>
                <w:szCs w:val="18"/>
              </w:rPr>
              <w:t>2020</w:t>
            </w:r>
            <w:r>
              <w:rPr>
                <w:rFonts w:hint="eastAsia" w:ascii="宋体" w:hAnsi="宋体"/>
                <w:color w:val="000000"/>
                <w:kern w:val="0"/>
                <w:sz w:val="18"/>
                <w:szCs w:val="18"/>
              </w:rPr>
              <w:t>〕</w:t>
            </w:r>
            <w:r>
              <w:rPr>
                <w:color w:val="000000"/>
                <w:kern w:val="0"/>
                <w:sz w:val="18"/>
                <w:szCs w:val="18"/>
              </w:rPr>
              <w:t>160</w:t>
            </w:r>
            <w:r>
              <w:rPr>
                <w:rFonts w:hint="eastAsia" w:ascii="宋体" w:hAnsi="宋体"/>
                <w:color w:val="000000"/>
                <w:kern w:val="0"/>
                <w:sz w:val="18"/>
                <w:szCs w:val="18"/>
              </w:rPr>
              <w:t>号）等设立创新驱动发展专项；项目立项符合《中共安徽省委安徽省人民政府关于实施创新驱动发展战略进一步加快创新型省份建设的意见》（皖发〔</w:t>
            </w:r>
            <w:r>
              <w:rPr>
                <w:color w:val="000000"/>
                <w:kern w:val="0"/>
                <w:sz w:val="18"/>
                <w:szCs w:val="18"/>
              </w:rPr>
              <w:t>2014</w:t>
            </w:r>
            <w:r>
              <w:rPr>
                <w:rFonts w:hint="eastAsia" w:ascii="宋体" w:hAnsi="宋体"/>
                <w:color w:val="000000"/>
                <w:kern w:val="0"/>
                <w:sz w:val="18"/>
                <w:szCs w:val="18"/>
              </w:rPr>
              <w:t>〕</w:t>
            </w:r>
            <w:r>
              <w:rPr>
                <w:color w:val="000000"/>
                <w:kern w:val="0"/>
                <w:sz w:val="18"/>
                <w:szCs w:val="18"/>
              </w:rPr>
              <w:t>4</w:t>
            </w:r>
            <w:r>
              <w:rPr>
                <w:rFonts w:hint="eastAsia" w:ascii="宋体" w:hAnsi="宋体"/>
                <w:color w:val="000000"/>
                <w:kern w:val="0"/>
                <w:sz w:val="18"/>
                <w:szCs w:val="18"/>
              </w:rPr>
              <w:t>号）行业发展规范及项目要求；项目立项符合六安市科学技术局部门职责范围，属于部门履职所需；依据评分标准，得</w:t>
            </w:r>
            <w:r>
              <w:rPr>
                <w:color w:val="000000"/>
                <w:kern w:val="0"/>
                <w:sz w:val="18"/>
                <w:szCs w:val="18"/>
              </w:rPr>
              <w:t>5</w:t>
            </w:r>
            <w:r>
              <w:rPr>
                <w:rFonts w:hint="eastAsia" w:ascii="宋体" w:hAnsi="宋体"/>
                <w:color w:val="000000"/>
                <w:kern w:val="0"/>
                <w:sz w:val="18"/>
                <w:szCs w:val="18"/>
              </w:rPr>
              <w:t>分。</w:t>
            </w:r>
          </w:p>
        </w:tc>
        <w:tc>
          <w:tcPr>
            <w:tcW w:w="604" w:type="dxa"/>
            <w:gridSpan w:val="2"/>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w:t>
            </w:r>
          </w:p>
        </w:tc>
      </w:tr>
      <w:tr>
        <w:tblPrEx>
          <w:tblCellMar>
            <w:top w:w="0" w:type="dxa"/>
            <w:left w:w="108" w:type="dxa"/>
            <w:bottom w:w="0" w:type="dxa"/>
            <w:right w:w="108" w:type="dxa"/>
          </w:tblCellMar>
        </w:tblPrEx>
        <w:trPr>
          <w:trHeight w:val="2010"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2</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rFonts w:hint="eastAsia" w:ascii="宋体" w:hAnsi="宋体"/>
                <w:color w:val="000000"/>
                <w:kern w:val="0"/>
                <w:sz w:val="20"/>
                <w:szCs w:val="20"/>
              </w:rPr>
              <w:t>立项程序规范性</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4</w:t>
            </w:r>
          </w:p>
        </w:tc>
        <w:tc>
          <w:tcPr>
            <w:tcW w:w="2779"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0"/>
                <w:szCs w:val="20"/>
              </w:rPr>
            </w:pPr>
            <w:r>
              <w:rPr>
                <w:rFonts w:hint="eastAsia" w:ascii="宋体" w:hAnsi="宋体"/>
                <w:color w:val="000000"/>
                <w:kern w:val="0"/>
                <w:sz w:val="20"/>
                <w:szCs w:val="20"/>
              </w:rPr>
              <w:t>项目申请、设立过程是否符合相关要求，用以反映和考核项目立项的规范。</w:t>
            </w:r>
          </w:p>
        </w:tc>
        <w:tc>
          <w:tcPr>
            <w:tcW w:w="466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评价要点：</w:t>
            </w:r>
            <w:r>
              <w:rPr>
                <w:rFonts w:hint="eastAsia" w:ascii="宋体" w:hAnsi="宋体"/>
                <w:color w:val="000000"/>
                <w:kern w:val="0"/>
                <w:sz w:val="18"/>
                <w:szCs w:val="18"/>
              </w:rPr>
              <w:br w:type="textWrapping"/>
            </w:r>
            <w:r>
              <w:rPr>
                <w:color w:val="000000"/>
                <w:kern w:val="0"/>
                <w:sz w:val="18"/>
                <w:szCs w:val="18"/>
              </w:rPr>
              <w:t>1.</w:t>
            </w:r>
            <w:r>
              <w:rPr>
                <w:rFonts w:hint="eastAsia" w:ascii="宋体" w:hAnsi="宋体"/>
                <w:color w:val="000000"/>
                <w:kern w:val="0"/>
                <w:sz w:val="18"/>
                <w:szCs w:val="18"/>
              </w:rPr>
              <w:t>项目是否按照规定的程序申请设立；得</w:t>
            </w:r>
            <w:r>
              <w:rPr>
                <w:color w:val="000000"/>
                <w:kern w:val="0"/>
                <w:sz w:val="18"/>
                <w:szCs w:val="18"/>
              </w:rPr>
              <w:t>2</w:t>
            </w:r>
            <w:r>
              <w:rPr>
                <w:rFonts w:hint="eastAsia" w:ascii="宋体" w:hAnsi="宋体"/>
                <w:color w:val="000000"/>
                <w:kern w:val="0"/>
                <w:sz w:val="18"/>
                <w:szCs w:val="18"/>
              </w:rPr>
              <w:t>分，否则不得分；</w:t>
            </w:r>
            <w:r>
              <w:rPr>
                <w:color w:val="000000"/>
                <w:kern w:val="0"/>
                <w:sz w:val="18"/>
                <w:szCs w:val="18"/>
              </w:rPr>
              <w:br w:type="textWrapping"/>
            </w:r>
            <w:r>
              <w:rPr>
                <w:color w:val="000000"/>
                <w:kern w:val="0"/>
                <w:sz w:val="18"/>
                <w:szCs w:val="18"/>
              </w:rPr>
              <w:t>2.</w:t>
            </w:r>
            <w:r>
              <w:rPr>
                <w:rFonts w:hint="eastAsia" w:ascii="宋体" w:hAnsi="宋体"/>
                <w:color w:val="000000"/>
                <w:kern w:val="0"/>
                <w:sz w:val="18"/>
                <w:szCs w:val="18"/>
              </w:rPr>
              <w:t>审批文件、材料是否符合相关要求；得</w:t>
            </w:r>
            <w:r>
              <w:rPr>
                <w:color w:val="000000"/>
                <w:kern w:val="0"/>
                <w:sz w:val="18"/>
                <w:szCs w:val="18"/>
              </w:rPr>
              <w:t>1</w:t>
            </w:r>
            <w:r>
              <w:rPr>
                <w:rFonts w:hint="eastAsia" w:ascii="宋体" w:hAnsi="宋体"/>
                <w:color w:val="000000"/>
                <w:kern w:val="0"/>
                <w:sz w:val="18"/>
                <w:szCs w:val="18"/>
              </w:rPr>
              <w:t>分，否则不得分；</w:t>
            </w:r>
            <w:r>
              <w:rPr>
                <w:rFonts w:hint="eastAsia" w:ascii="宋体" w:hAnsi="宋体"/>
                <w:color w:val="000000"/>
                <w:kern w:val="0"/>
                <w:sz w:val="18"/>
                <w:szCs w:val="18"/>
              </w:rPr>
              <w:br w:type="textWrapping"/>
            </w:r>
            <w:r>
              <w:rPr>
                <w:color w:val="000000"/>
                <w:kern w:val="0"/>
                <w:sz w:val="18"/>
                <w:szCs w:val="18"/>
              </w:rPr>
              <w:t>3.</w:t>
            </w:r>
            <w:r>
              <w:rPr>
                <w:rFonts w:hint="eastAsia" w:ascii="宋体" w:hAnsi="宋体"/>
                <w:color w:val="000000"/>
                <w:kern w:val="0"/>
                <w:sz w:val="18"/>
                <w:szCs w:val="18"/>
              </w:rPr>
              <w:t>事前是否已经过必要的可行性研究、专家论证、风险评估、绩效评估、集体决策；得</w:t>
            </w:r>
            <w:r>
              <w:rPr>
                <w:color w:val="000000"/>
                <w:kern w:val="0"/>
                <w:sz w:val="18"/>
                <w:szCs w:val="18"/>
              </w:rPr>
              <w:t>1</w:t>
            </w:r>
            <w:r>
              <w:rPr>
                <w:rFonts w:hint="eastAsia" w:ascii="宋体" w:hAnsi="宋体"/>
                <w:color w:val="000000"/>
                <w:kern w:val="0"/>
                <w:sz w:val="18"/>
                <w:szCs w:val="18"/>
              </w:rPr>
              <w:t>分，否则不得分。</w:t>
            </w:r>
          </w:p>
        </w:tc>
        <w:tc>
          <w:tcPr>
            <w:tcW w:w="340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项目申报材料基本齐全、申报程序符合相关要求；审批手续齐全、审批程序合规。按照评分标准，得</w:t>
            </w:r>
            <w:r>
              <w:rPr>
                <w:color w:val="000000"/>
                <w:kern w:val="0"/>
                <w:sz w:val="18"/>
                <w:szCs w:val="18"/>
              </w:rPr>
              <w:t>5</w:t>
            </w:r>
            <w:r>
              <w:rPr>
                <w:rFonts w:hint="eastAsia" w:ascii="宋体" w:hAnsi="宋体"/>
                <w:color w:val="000000"/>
                <w:kern w:val="0"/>
                <w:sz w:val="18"/>
                <w:szCs w:val="18"/>
              </w:rPr>
              <w:t>分。</w:t>
            </w:r>
          </w:p>
        </w:tc>
        <w:tc>
          <w:tcPr>
            <w:tcW w:w="604" w:type="dxa"/>
            <w:gridSpan w:val="2"/>
            <w:tcBorders>
              <w:top w:val="nil"/>
              <w:left w:val="nil"/>
              <w:bottom w:val="nil"/>
              <w:right w:val="nil"/>
            </w:tcBorders>
            <w:shd w:val="clear" w:color="auto" w:fill="auto"/>
            <w:noWrap/>
            <w:vAlign w:val="center"/>
          </w:tcPr>
          <w:p>
            <w:pPr>
              <w:widowControl/>
              <w:jc w:val="center"/>
              <w:rPr>
                <w:color w:val="000000"/>
                <w:kern w:val="0"/>
                <w:sz w:val="16"/>
                <w:szCs w:val="16"/>
              </w:rPr>
            </w:pPr>
            <w:r>
              <w:rPr>
                <w:color w:val="000000"/>
                <w:kern w:val="0"/>
                <w:sz w:val="16"/>
                <w:szCs w:val="16"/>
              </w:rPr>
              <w:t>4</w:t>
            </w:r>
          </w:p>
        </w:tc>
      </w:tr>
      <w:tr>
        <w:tblPrEx>
          <w:tblCellMar>
            <w:top w:w="0" w:type="dxa"/>
            <w:left w:w="108" w:type="dxa"/>
            <w:bottom w:w="0" w:type="dxa"/>
            <w:right w:w="108" w:type="dxa"/>
          </w:tblCellMar>
        </w:tblPrEx>
        <w:trPr>
          <w:trHeight w:val="1095"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3</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绩效目标</w:t>
            </w:r>
            <w:r>
              <w:rPr>
                <w:color w:val="000000"/>
                <w:kern w:val="0"/>
                <w:sz w:val="18"/>
                <w:szCs w:val="18"/>
              </w:rPr>
              <w:br w:type="textWrapping"/>
            </w:r>
            <w:r>
              <w:rPr>
                <w:rFonts w:hint="eastAsia" w:ascii="宋体" w:hAnsi="宋体"/>
                <w:color w:val="000000"/>
                <w:kern w:val="0"/>
                <w:sz w:val="18"/>
                <w:szCs w:val="18"/>
              </w:rPr>
              <w:t>（</w:t>
            </w:r>
            <w:r>
              <w:rPr>
                <w:color w:val="000000"/>
                <w:kern w:val="0"/>
                <w:sz w:val="18"/>
                <w:szCs w:val="18"/>
              </w:rPr>
              <w:t>7</w:t>
            </w:r>
            <w:r>
              <w:rPr>
                <w:rFonts w:hint="eastAsia" w:ascii="宋体" w:hAnsi="宋体"/>
                <w:color w:val="000000"/>
                <w:kern w:val="0"/>
                <w:sz w:val="18"/>
                <w:szCs w:val="18"/>
              </w:rPr>
              <w:t>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绩效目标合理性</w:t>
            </w:r>
          </w:p>
        </w:tc>
        <w:tc>
          <w:tcPr>
            <w:tcW w:w="623" w:type="dxa"/>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4</w:t>
            </w:r>
          </w:p>
        </w:tc>
        <w:tc>
          <w:tcPr>
            <w:tcW w:w="2779"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项目是否设定绩效目标，是否符合客观实际，用以反映和考核政策绩效目标与政策实施的相符情况。</w:t>
            </w:r>
          </w:p>
        </w:tc>
        <w:tc>
          <w:tcPr>
            <w:tcW w:w="466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ascii="宋体" w:hAnsi="宋体"/>
                <w:kern w:val="0"/>
                <w:sz w:val="18"/>
                <w:szCs w:val="18"/>
              </w:rPr>
              <w:t>评价要点：</w:t>
            </w:r>
            <w:r>
              <w:rPr>
                <w:rFonts w:hint="eastAsia" w:ascii="宋体" w:hAnsi="宋体"/>
                <w:kern w:val="0"/>
                <w:sz w:val="18"/>
                <w:szCs w:val="18"/>
              </w:rPr>
              <w:br w:type="textWrapping"/>
            </w:r>
            <w:r>
              <w:rPr>
                <w:kern w:val="0"/>
                <w:sz w:val="18"/>
                <w:szCs w:val="18"/>
              </w:rPr>
              <w:t>1.</w:t>
            </w:r>
            <w:r>
              <w:rPr>
                <w:rFonts w:hint="eastAsia" w:ascii="宋体" w:hAnsi="宋体"/>
                <w:kern w:val="0"/>
                <w:sz w:val="18"/>
                <w:szCs w:val="18"/>
              </w:rPr>
              <w:t>项目设定了总体目标和年度绩效目标，得</w:t>
            </w:r>
            <w:r>
              <w:rPr>
                <w:kern w:val="0"/>
                <w:sz w:val="18"/>
                <w:szCs w:val="18"/>
              </w:rPr>
              <w:t>2</w:t>
            </w:r>
            <w:r>
              <w:rPr>
                <w:rFonts w:hint="eastAsia" w:ascii="宋体" w:hAnsi="宋体"/>
                <w:kern w:val="0"/>
                <w:sz w:val="18"/>
                <w:szCs w:val="18"/>
              </w:rPr>
              <w:t>分，否则不得分；</w:t>
            </w:r>
            <w:r>
              <w:rPr>
                <w:rFonts w:hint="eastAsia" w:ascii="宋体" w:hAnsi="宋体"/>
                <w:kern w:val="0"/>
                <w:sz w:val="18"/>
                <w:szCs w:val="18"/>
              </w:rPr>
              <w:br w:type="textWrapping"/>
            </w:r>
            <w:r>
              <w:rPr>
                <w:kern w:val="0"/>
                <w:sz w:val="18"/>
                <w:szCs w:val="18"/>
              </w:rPr>
              <w:t>2.</w:t>
            </w:r>
            <w:r>
              <w:rPr>
                <w:rFonts w:hint="eastAsia" w:ascii="宋体" w:hAnsi="宋体"/>
                <w:kern w:val="0"/>
                <w:sz w:val="18"/>
                <w:szCs w:val="18"/>
              </w:rPr>
              <w:t>绩效目标与实际工作内容具有相关性，得</w:t>
            </w:r>
            <w:r>
              <w:rPr>
                <w:kern w:val="0"/>
                <w:sz w:val="18"/>
                <w:szCs w:val="18"/>
              </w:rPr>
              <w:t>1</w:t>
            </w:r>
            <w:r>
              <w:rPr>
                <w:rFonts w:hint="eastAsia" w:ascii="宋体" w:hAnsi="宋体"/>
                <w:kern w:val="0"/>
                <w:sz w:val="18"/>
                <w:szCs w:val="18"/>
              </w:rPr>
              <w:t>分，否则不得分；</w:t>
            </w:r>
            <w:r>
              <w:rPr>
                <w:rFonts w:hint="eastAsia" w:ascii="宋体" w:hAnsi="宋体"/>
                <w:kern w:val="0"/>
                <w:sz w:val="18"/>
                <w:szCs w:val="18"/>
              </w:rPr>
              <w:br w:type="textWrapping"/>
            </w:r>
            <w:r>
              <w:rPr>
                <w:kern w:val="0"/>
                <w:sz w:val="18"/>
                <w:szCs w:val="18"/>
              </w:rPr>
              <w:t>3.</w:t>
            </w:r>
            <w:r>
              <w:rPr>
                <w:rFonts w:hint="eastAsia" w:ascii="宋体" w:hAnsi="宋体"/>
                <w:kern w:val="0"/>
                <w:sz w:val="18"/>
                <w:szCs w:val="18"/>
              </w:rPr>
              <w:t>预期产出效益和效果符合正常的业绩水平，得</w:t>
            </w:r>
            <w:r>
              <w:rPr>
                <w:kern w:val="0"/>
                <w:sz w:val="18"/>
                <w:szCs w:val="18"/>
              </w:rPr>
              <w:t>1</w:t>
            </w:r>
            <w:r>
              <w:rPr>
                <w:rFonts w:hint="eastAsia" w:ascii="宋体" w:hAnsi="宋体"/>
                <w:kern w:val="0"/>
                <w:sz w:val="18"/>
                <w:szCs w:val="18"/>
              </w:rPr>
              <w:t>分，否则不得分。</w:t>
            </w:r>
          </w:p>
        </w:tc>
        <w:tc>
          <w:tcPr>
            <w:tcW w:w="340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2022</w:t>
            </w:r>
            <w:r>
              <w:rPr>
                <w:rFonts w:hint="eastAsia" w:ascii="宋体" w:hAnsi="宋体"/>
                <w:kern w:val="0"/>
                <w:sz w:val="18"/>
                <w:szCs w:val="18"/>
              </w:rPr>
              <w:t>年创新驱动发展专项资金纳入六安市财政局统留管理；</w:t>
            </w:r>
            <w:r>
              <w:rPr>
                <w:kern w:val="0"/>
                <w:sz w:val="18"/>
                <w:szCs w:val="18"/>
              </w:rPr>
              <w:t>2022</w:t>
            </w:r>
            <w:r>
              <w:rPr>
                <w:rFonts w:hint="eastAsia" w:ascii="宋体" w:hAnsi="宋体"/>
                <w:kern w:val="0"/>
                <w:sz w:val="18"/>
                <w:szCs w:val="18"/>
              </w:rPr>
              <w:t>年六安市科学技术局共申请项目资金</w:t>
            </w:r>
            <w:r>
              <w:rPr>
                <w:kern w:val="0"/>
                <w:sz w:val="18"/>
                <w:szCs w:val="18"/>
              </w:rPr>
              <w:t>5</w:t>
            </w:r>
            <w:r>
              <w:rPr>
                <w:rFonts w:hint="eastAsia" w:ascii="宋体" w:hAnsi="宋体"/>
                <w:kern w:val="0"/>
                <w:sz w:val="18"/>
                <w:szCs w:val="18"/>
              </w:rPr>
              <w:t>次，申报项目资金时附件无项目绩效目标表；依据评分标准，扣</w:t>
            </w:r>
            <w:r>
              <w:rPr>
                <w:kern w:val="0"/>
                <w:sz w:val="18"/>
                <w:szCs w:val="18"/>
              </w:rPr>
              <w:t>4</w:t>
            </w:r>
            <w:r>
              <w:rPr>
                <w:rFonts w:hint="eastAsia" w:ascii="宋体" w:hAnsi="宋体"/>
                <w:kern w:val="0"/>
                <w:sz w:val="18"/>
                <w:szCs w:val="18"/>
              </w:rPr>
              <w:t>分，得</w:t>
            </w:r>
            <w:r>
              <w:rPr>
                <w:kern w:val="0"/>
                <w:sz w:val="18"/>
                <w:szCs w:val="18"/>
              </w:rPr>
              <w:t>0</w:t>
            </w:r>
            <w:r>
              <w:rPr>
                <w:rFonts w:hint="eastAsia" w:ascii="宋体" w:hAnsi="宋体"/>
                <w:kern w:val="0"/>
                <w:sz w:val="18"/>
                <w:szCs w:val="18"/>
              </w:rPr>
              <w:t>分。</w:t>
            </w:r>
          </w:p>
        </w:tc>
        <w:tc>
          <w:tcPr>
            <w:tcW w:w="60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w:t>
            </w:r>
          </w:p>
        </w:tc>
      </w:tr>
      <w:tr>
        <w:tblPrEx>
          <w:tblCellMar>
            <w:top w:w="0" w:type="dxa"/>
            <w:left w:w="108" w:type="dxa"/>
            <w:bottom w:w="0" w:type="dxa"/>
            <w:right w:w="108" w:type="dxa"/>
          </w:tblCellMar>
        </w:tblPrEx>
        <w:trPr>
          <w:trHeight w:val="2130"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4</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绩效指标明确性</w:t>
            </w:r>
          </w:p>
        </w:tc>
        <w:tc>
          <w:tcPr>
            <w:tcW w:w="623" w:type="dxa"/>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3</w:t>
            </w:r>
          </w:p>
        </w:tc>
        <w:tc>
          <w:tcPr>
            <w:tcW w:w="2779"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绩效目标设定是否清晰、细化、可衡量等，用以反映和考核政策绩效目标的明细化情况。</w:t>
            </w:r>
          </w:p>
        </w:tc>
        <w:tc>
          <w:tcPr>
            <w:tcW w:w="466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ascii="宋体" w:hAnsi="宋体"/>
                <w:kern w:val="0"/>
                <w:sz w:val="18"/>
                <w:szCs w:val="18"/>
              </w:rPr>
              <w:t>评价要点：</w:t>
            </w:r>
            <w:r>
              <w:rPr>
                <w:kern w:val="0"/>
                <w:sz w:val="18"/>
                <w:szCs w:val="18"/>
              </w:rPr>
              <w:br w:type="textWrapping"/>
            </w:r>
            <w:r>
              <w:rPr>
                <w:kern w:val="0"/>
                <w:sz w:val="18"/>
                <w:szCs w:val="18"/>
              </w:rPr>
              <w:t>1.</w:t>
            </w:r>
            <w:r>
              <w:rPr>
                <w:rFonts w:hint="eastAsia" w:ascii="宋体" w:hAnsi="宋体"/>
                <w:kern w:val="0"/>
                <w:sz w:val="18"/>
                <w:szCs w:val="18"/>
              </w:rPr>
              <w:t>绩效目标细化分解为具体的绩效指标，得</w:t>
            </w:r>
            <w:r>
              <w:rPr>
                <w:kern w:val="0"/>
                <w:sz w:val="18"/>
                <w:szCs w:val="18"/>
              </w:rPr>
              <w:t>1</w:t>
            </w:r>
            <w:r>
              <w:rPr>
                <w:rFonts w:hint="eastAsia" w:ascii="宋体" w:hAnsi="宋体"/>
                <w:kern w:val="0"/>
                <w:sz w:val="18"/>
                <w:szCs w:val="18"/>
              </w:rPr>
              <w:t>分，否则不得分；</w:t>
            </w:r>
            <w:r>
              <w:rPr>
                <w:rFonts w:hint="eastAsia" w:ascii="宋体" w:hAnsi="宋体"/>
                <w:kern w:val="0"/>
                <w:sz w:val="18"/>
                <w:szCs w:val="18"/>
              </w:rPr>
              <w:br w:type="textWrapping"/>
            </w:r>
            <w:r>
              <w:rPr>
                <w:kern w:val="0"/>
                <w:sz w:val="18"/>
                <w:szCs w:val="18"/>
              </w:rPr>
              <w:t>2.</w:t>
            </w:r>
            <w:r>
              <w:rPr>
                <w:rFonts w:hint="eastAsia" w:ascii="宋体" w:hAnsi="宋体"/>
                <w:kern w:val="0"/>
                <w:sz w:val="18"/>
                <w:szCs w:val="18"/>
              </w:rPr>
              <w:t>绩效指标通过清晰、可衡量的指标值予以体现，得</w:t>
            </w:r>
            <w:r>
              <w:rPr>
                <w:kern w:val="0"/>
                <w:sz w:val="18"/>
                <w:szCs w:val="18"/>
              </w:rPr>
              <w:t>1</w:t>
            </w:r>
            <w:r>
              <w:rPr>
                <w:rFonts w:hint="eastAsia" w:ascii="宋体" w:hAnsi="宋体"/>
                <w:kern w:val="0"/>
                <w:sz w:val="18"/>
                <w:szCs w:val="18"/>
              </w:rPr>
              <w:t>分，否则不得分；</w:t>
            </w:r>
            <w:r>
              <w:rPr>
                <w:rFonts w:hint="eastAsia" w:ascii="宋体" w:hAnsi="宋体"/>
                <w:kern w:val="0"/>
                <w:sz w:val="18"/>
                <w:szCs w:val="18"/>
              </w:rPr>
              <w:br w:type="textWrapping"/>
            </w:r>
            <w:r>
              <w:rPr>
                <w:kern w:val="0"/>
                <w:sz w:val="18"/>
                <w:szCs w:val="18"/>
              </w:rPr>
              <w:t>3.</w:t>
            </w:r>
            <w:r>
              <w:rPr>
                <w:rFonts w:hint="eastAsia" w:ascii="宋体" w:hAnsi="宋体"/>
                <w:kern w:val="0"/>
                <w:sz w:val="18"/>
                <w:szCs w:val="18"/>
              </w:rPr>
              <w:t>绩效指标与政策年度任务数或计划数相对应，得</w:t>
            </w:r>
            <w:r>
              <w:rPr>
                <w:kern w:val="0"/>
                <w:sz w:val="18"/>
                <w:szCs w:val="18"/>
              </w:rPr>
              <w:t>1</w:t>
            </w:r>
            <w:r>
              <w:rPr>
                <w:rFonts w:hint="eastAsia" w:ascii="宋体" w:hAnsi="宋体"/>
                <w:kern w:val="0"/>
                <w:sz w:val="18"/>
                <w:szCs w:val="18"/>
              </w:rPr>
              <w:t>分，否则不得分。</w:t>
            </w:r>
          </w:p>
        </w:tc>
        <w:tc>
          <w:tcPr>
            <w:tcW w:w="340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ascii="宋体" w:hAnsi="宋体"/>
                <w:kern w:val="0"/>
                <w:sz w:val="18"/>
                <w:szCs w:val="18"/>
              </w:rPr>
              <w:t>绩效目标不可以通过清晰、可衡量的指标值予以体现；依据评分标准，扣</w:t>
            </w:r>
            <w:r>
              <w:rPr>
                <w:kern w:val="0"/>
                <w:sz w:val="18"/>
                <w:szCs w:val="18"/>
              </w:rPr>
              <w:t>3</w:t>
            </w:r>
            <w:r>
              <w:rPr>
                <w:rFonts w:hint="eastAsia" w:ascii="宋体" w:hAnsi="宋体"/>
                <w:kern w:val="0"/>
                <w:sz w:val="18"/>
                <w:szCs w:val="18"/>
              </w:rPr>
              <w:t>分，得</w:t>
            </w:r>
            <w:r>
              <w:rPr>
                <w:kern w:val="0"/>
                <w:sz w:val="18"/>
                <w:szCs w:val="18"/>
              </w:rPr>
              <w:t>0</w:t>
            </w:r>
            <w:r>
              <w:rPr>
                <w:rFonts w:hint="eastAsia" w:ascii="宋体" w:hAnsi="宋体"/>
                <w:kern w:val="0"/>
                <w:sz w:val="18"/>
                <w:szCs w:val="18"/>
              </w:rPr>
              <w:t>分。</w:t>
            </w:r>
          </w:p>
        </w:tc>
        <w:tc>
          <w:tcPr>
            <w:tcW w:w="604" w:type="dxa"/>
            <w:gridSpan w:val="2"/>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w:t>
            </w:r>
          </w:p>
        </w:tc>
      </w:tr>
      <w:tr>
        <w:tblPrEx>
          <w:tblCellMar>
            <w:top w:w="0" w:type="dxa"/>
            <w:left w:w="108" w:type="dxa"/>
            <w:bottom w:w="0" w:type="dxa"/>
            <w:right w:w="108" w:type="dxa"/>
          </w:tblCellMar>
        </w:tblPrEx>
        <w:trPr>
          <w:trHeight w:val="1290"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5</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过程</w:t>
            </w:r>
            <w:r>
              <w:rPr>
                <w:color w:val="000000"/>
                <w:kern w:val="0"/>
                <w:sz w:val="18"/>
                <w:szCs w:val="18"/>
              </w:rPr>
              <w:br w:type="textWrapping"/>
            </w:r>
            <w:r>
              <w:rPr>
                <w:rFonts w:hint="eastAsia" w:ascii="宋体" w:hAnsi="宋体"/>
                <w:color w:val="000000"/>
                <w:kern w:val="0"/>
                <w:sz w:val="18"/>
                <w:szCs w:val="18"/>
              </w:rPr>
              <w:t>（</w:t>
            </w:r>
            <w:r>
              <w:rPr>
                <w:color w:val="000000"/>
                <w:kern w:val="0"/>
                <w:sz w:val="18"/>
                <w:szCs w:val="18"/>
              </w:rPr>
              <w:t>17</w:t>
            </w:r>
            <w:r>
              <w:rPr>
                <w:rFonts w:hint="eastAsia" w:ascii="宋体" w:hAnsi="宋体"/>
                <w:color w:val="000000"/>
                <w:kern w:val="0"/>
                <w:sz w:val="18"/>
                <w:szCs w:val="18"/>
              </w:rPr>
              <w:t>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组织实施（</w:t>
            </w:r>
            <w:r>
              <w:rPr>
                <w:color w:val="000000"/>
                <w:kern w:val="0"/>
                <w:sz w:val="18"/>
                <w:szCs w:val="18"/>
              </w:rPr>
              <w:t>11</w:t>
            </w:r>
            <w:r>
              <w:rPr>
                <w:rFonts w:hint="eastAsia" w:ascii="宋体" w:hAnsi="宋体"/>
                <w:color w:val="000000"/>
                <w:kern w:val="0"/>
                <w:sz w:val="18"/>
                <w:szCs w:val="18"/>
              </w:rPr>
              <w:t>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ascii="宋体" w:hAnsi="宋体"/>
                <w:kern w:val="0"/>
                <w:sz w:val="18"/>
                <w:szCs w:val="18"/>
              </w:rPr>
              <w:t>管理制度健全性</w:t>
            </w:r>
          </w:p>
        </w:tc>
        <w:tc>
          <w:tcPr>
            <w:tcW w:w="623" w:type="dxa"/>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3</w:t>
            </w:r>
          </w:p>
        </w:tc>
        <w:tc>
          <w:tcPr>
            <w:tcW w:w="2779"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ascii="宋体" w:hAnsi="宋体"/>
                <w:kern w:val="0"/>
                <w:sz w:val="18"/>
                <w:szCs w:val="18"/>
              </w:rPr>
              <w:t>项目实施单位的财务和业务管理制度是否健全，用以反映和考核财务和业务管理制度对项目顺利实施的保障情况。</w:t>
            </w:r>
          </w:p>
        </w:tc>
        <w:tc>
          <w:tcPr>
            <w:tcW w:w="466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ascii="宋体" w:hAnsi="宋体"/>
                <w:kern w:val="0"/>
                <w:sz w:val="18"/>
                <w:szCs w:val="18"/>
              </w:rPr>
              <w:t>评价要点：</w:t>
            </w:r>
            <w:r>
              <w:rPr>
                <w:rFonts w:hint="eastAsia" w:ascii="宋体" w:hAnsi="宋体"/>
                <w:kern w:val="0"/>
                <w:sz w:val="18"/>
                <w:szCs w:val="18"/>
              </w:rPr>
              <w:br w:type="textWrapping"/>
            </w:r>
            <w:r>
              <w:rPr>
                <w:kern w:val="0"/>
                <w:sz w:val="18"/>
                <w:szCs w:val="18"/>
              </w:rPr>
              <w:t>1.</w:t>
            </w:r>
            <w:r>
              <w:rPr>
                <w:rFonts w:hint="eastAsia" w:ascii="宋体" w:hAnsi="宋体"/>
                <w:kern w:val="0"/>
                <w:sz w:val="18"/>
                <w:szCs w:val="18"/>
              </w:rPr>
              <w:t>项目实施单位制定了项目相关管理制度或细则，得</w:t>
            </w:r>
            <w:r>
              <w:rPr>
                <w:kern w:val="0"/>
                <w:sz w:val="18"/>
                <w:szCs w:val="18"/>
              </w:rPr>
              <w:t>2</w:t>
            </w:r>
            <w:r>
              <w:rPr>
                <w:rFonts w:hint="eastAsia" w:ascii="宋体" w:hAnsi="宋体"/>
                <w:kern w:val="0"/>
                <w:sz w:val="18"/>
                <w:szCs w:val="18"/>
              </w:rPr>
              <w:t>分，否则不得分；</w:t>
            </w:r>
            <w:r>
              <w:rPr>
                <w:kern w:val="0"/>
                <w:sz w:val="18"/>
                <w:szCs w:val="18"/>
              </w:rPr>
              <w:br w:type="textWrapping"/>
            </w:r>
            <w:r>
              <w:rPr>
                <w:kern w:val="0"/>
                <w:sz w:val="18"/>
                <w:szCs w:val="18"/>
              </w:rPr>
              <w:t>2.</w:t>
            </w:r>
            <w:r>
              <w:rPr>
                <w:rFonts w:hint="eastAsia" w:ascii="宋体" w:hAnsi="宋体"/>
                <w:kern w:val="0"/>
                <w:sz w:val="18"/>
                <w:szCs w:val="18"/>
              </w:rPr>
              <w:t>项目实施单位制定相关管理制度是否规范、健全，得</w:t>
            </w:r>
            <w:r>
              <w:rPr>
                <w:kern w:val="0"/>
                <w:sz w:val="18"/>
                <w:szCs w:val="18"/>
              </w:rPr>
              <w:t>1</w:t>
            </w:r>
            <w:r>
              <w:rPr>
                <w:rFonts w:hint="eastAsia" w:ascii="宋体" w:hAnsi="宋体"/>
                <w:kern w:val="0"/>
                <w:sz w:val="18"/>
                <w:szCs w:val="18"/>
              </w:rPr>
              <w:t>分，否则不得分。</w:t>
            </w:r>
          </w:p>
        </w:tc>
        <w:tc>
          <w:tcPr>
            <w:tcW w:w="340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六安市科学技术局下发并制定《六安市创新驱动发展专项资金管理办法》（财教〔</w:t>
            </w:r>
            <w:r>
              <w:rPr>
                <w:color w:val="000000"/>
                <w:kern w:val="0"/>
                <w:sz w:val="18"/>
                <w:szCs w:val="18"/>
              </w:rPr>
              <w:t>2018</w:t>
            </w:r>
            <w:r>
              <w:rPr>
                <w:rFonts w:hint="eastAsia" w:ascii="宋体" w:hAnsi="宋体"/>
                <w:color w:val="000000"/>
                <w:kern w:val="0"/>
                <w:sz w:val="18"/>
                <w:szCs w:val="18"/>
              </w:rPr>
              <w:t>〕</w:t>
            </w:r>
            <w:r>
              <w:rPr>
                <w:color w:val="000000"/>
                <w:kern w:val="0"/>
                <w:sz w:val="18"/>
                <w:szCs w:val="18"/>
              </w:rPr>
              <w:t>688</w:t>
            </w:r>
            <w:r>
              <w:rPr>
                <w:rFonts w:hint="eastAsia" w:ascii="宋体" w:hAnsi="宋体"/>
                <w:color w:val="000000"/>
                <w:kern w:val="0"/>
                <w:sz w:val="18"/>
                <w:szCs w:val="18"/>
              </w:rPr>
              <w:t>号）、《关于引导全社会加大研发投入的实施意见》（六政办秘〔</w:t>
            </w:r>
            <w:r>
              <w:rPr>
                <w:color w:val="000000"/>
                <w:kern w:val="0"/>
                <w:sz w:val="18"/>
                <w:szCs w:val="18"/>
              </w:rPr>
              <w:t>2020</w:t>
            </w:r>
            <w:r>
              <w:rPr>
                <w:rFonts w:hint="eastAsia" w:ascii="宋体" w:hAnsi="宋体"/>
                <w:color w:val="000000"/>
                <w:kern w:val="0"/>
                <w:sz w:val="18"/>
                <w:szCs w:val="18"/>
              </w:rPr>
              <w:t>〕</w:t>
            </w:r>
            <w:r>
              <w:rPr>
                <w:color w:val="000000"/>
                <w:kern w:val="0"/>
                <w:sz w:val="18"/>
                <w:szCs w:val="18"/>
              </w:rPr>
              <w:t>160</w:t>
            </w:r>
            <w:r>
              <w:rPr>
                <w:rFonts w:hint="eastAsia" w:ascii="宋体" w:hAnsi="宋体"/>
                <w:color w:val="000000"/>
                <w:kern w:val="0"/>
                <w:sz w:val="18"/>
                <w:szCs w:val="18"/>
              </w:rPr>
              <w:t>号）及六安市科技创业服务中心孵化资金管理办法等相关管理制度规范、健全；依据评分标准，得</w:t>
            </w:r>
            <w:r>
              <w:rPr>
                <w:color w:val="000000"/>
                <w:kern w:val="0"/>
                <w:sz w:val="18"/>
                <w:szCs w:val="18"/>
              </w:rPr>
              <w:t>3</w:t>
            </w:r>
            <w:r>
              <w:rPr>
                <w:rFonts w:hint="eastAsia" w:ascii="宋体" w:hAnsi="宋体"/>
                <w:color w:val="000000"/>
                <w:kern w:val="0"/>
                <w:sz w:val="18"/>
                <w:szCs w:val="18"/>
              </w:rPr>
              <w:t>分。</w:t>
            </w:r>
          </w:p>
        </w:tc>
        <w:tc>
          <w:tcPr>
            <w:tcW w:w="604" w:type="dxa"/>
            <w:gridSpan w:val="2"/>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w:t>
            </w:r>
          </w:p>
        </w:tc>
      </w:tr>
      <w:tr>
        <w:tblPrEx>
          <w:tblCellMar>
            <w:top w:w="0" w:type="dxa"/>
            <w:left w:w="108" w:type="dxa"/>
            <w:bottom w:w="0" w:type="dxa"/>
            <w:right w:w="108" w:type="dxa"/>
          </w:tblCellMar>
        </w:tblPrEx>
        <w:trPr>
          <w:trHeight w:val="945"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6</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ascii="宋体" w:hAnsi="宋体"/>
                <w:kern w:val="0"/>
                <w:sz w:val="18"/>
                <w:szCs w:val="18"/>
              </w:rPr>
              <w:t>制度执行有效性</w:t>
            </w:r>
          </w:p>
        </w:tc>
        <w:tc>
          <w:tcPr>
            <w:tcW w:w="623" w:type="dxa"/>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3</w:t>
            </w:r>
          </w:p>
        </w:tc>
        <w:tc>
          <w:tcPr>
            <w:tcW w:w="2779"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ascii="宋体" w:hAnsi="宋体"/>
                <w:kern w:val="0"/>
                <w:sz w:val="18"/>
                <w:szCs w:val="18"/>
              </w:rPr>
              <w:t>项目实施是否符合相关管理规定，用以反映和考核相关管理制度的有效执行情况。</w:t>
            </w:r>
          </w:p>
        </w:tc>
        <w:tc>
          <w:tcPr>
            <w:tcW w:w="466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ascii="宋体" w:hAnsi="宋体"/>
                <w:kern w:val="0"/>
                <w:sz w:val="18"/>
                <w:szCs w:val="18"/>
              </w:rPr>
              <w:t>评价要点：</w:t>
            </w:r>
            <w:r>
              <w:rPr>
                <w:rFonts w:hint="eastAsia" w:ascii="宋体" w:hAnsi="宋体"/>
                <w:kern w:val="0"/>
                <w:sz w:val="18"/>
                <w:szCs w:val="18"/>
              </w:rPr>
              <w:br w:type="textWrapping"/>
            </w:r>
            <w:r>
              <w:rPr>
                <w:kern w:val="0"/>
                <w:sz w:val="18"/>
                <w:szCs w:val="18"/>
              </w:rPr>
              <w:t>1.</w:t>
            </w:r>
            <w:r>
              <w:rPr>
                <w:rFonts w:hint="eastAsia" w:ascii="宋体" w:hAnsi="宋体"/>
                <w:kern w:val="0"/>
                <w:sz w:val="18"/>
                <w:szCs w:val="18"/>
              </w:rPr>
              <w:t>项目实施管理符合相关管理规定的，得</w:t>
            </w:r>
            <w:r>
              <w:rPr>
                <w:kern w:val="0"/>
                <w:sz w:val="18"/>
                <w:szCs w:val="18"/>
              </w:rPr>
              <w:t>3</w:t>
            </w:r>
            <w:r>
              <w:rPr>
                <w:rFonts w:hint="eastAsia" w:ascii="宋体" w:hAnsi="宋体"/>
                <w:kern w:val="0"/>
                <w:sz w:val="18"/>
                <w:szCs w:val="18"/>
              </w:rPr>
              <w:t>分，若发现</w:t>
            </w:r>
            <w:r>
              <w:rPr>
                <w:kern w:val="0"/>
                <w:sz w:val="18"/>
                <w:szCs w:val="18"/>
              </w:rPr>
              <w:t>1</w:t>
            </w:r>
            <w:r>
              <w:rPr>
                <w:rFonts w:hint="eastAsia" w:ascii="宋体" w:hAnsi="宋体"/>
                <w:kern w:val="0"/>
                <w:sz w:val="18"/>
                <w:szCs w:val="18"/>
              </w:rPr>
              <w:t>例不符合相关管理制度规定的，扣</w:t>
            </w:r>
            <w:r>
              <w:rPr>
                <w:kern w:val="0"/>
                <w:sz w:val="18"/>
                <w:szCs w:val="18"/>
              </w:rPr>
              <w:t>0.5</w:t>
            </w:r>
            <w:r>
              <w:rPr>
                <w:rFonts w:hint="eastAsia" w:ascii="宋体" w:hAnsi="宋体"/>
                <w:kern w:val="0"/>
                <w:sz w:val="18"/>
                <w:szCs w:val="18"/>
              </w:rPr>
              <w:t>分，扣完本项分值为止。</w:t>
            </w:r>
          </w:p>
        </w:tc>
        <w:tc>
          <w:tcPr>
            <w:tcW w:w="340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通过现场查阅</w:t>
            </w:r>
            <w:r>
              <w:rPr>
                <w:color w:val="000000"/>
                <w:kern w:val="0"/>
                <w:sz w:val="18"/>
                <w:szCs w:val="18"/>
              </w:rPr>
              <w:t>“2020</w:t>
            </w:r>
            <w:r>
              <w:rPr>
                <w:rFonts w:hint="eastAsia" w:ascii="宋体" w:hAnsi="宋体"/>
                <w:color w:val="000000"/>
                <w:kern w:val="0"/>
                <w:sz w:val="18"/>
                <w:szCs w:val="18"/>
              </w:rPr>
              <w:t>年度规上企业研发投入奖补</w:t>
            </w:r>
            <w:r>
              <w:rPr>
                <w:color w:val="000000"/>
                <w:kern w:val="0"/>
                <w:sz w:val="18"/>
                <w:szCs w:val="18"/>
              </w:rPr>
              <w:t>”</w:t>
            </w:r>
            <w:r>
              <w:rPr>
                <w:rFonts w:hint="eastAsia" w:ascii="宋体" w:hAnsi="宋体"/>
                <w:color w:val="000000"/>
                <w:kern w:val="0"/>
                <w:sz w:val="18"/>
                <w:szCs w:val="18"/>
              </w:rPr>
              <w:t>、</w:t>
            </w:r>
            <w:r>
              <w:rPr>
                <w:color w:val="000000"/>
                <w:kern w:val="0"/>
                <w:sz w:val="18"/>
                <w:szCs w:val="18"/>
              </w:rPr>
              <w:t>“</w:t>
            </w:r>
            <w:r>
              <w:rPr>
                <w:rFonts w:hint="eastAsia" w:ascii="宋体" w:hAnsi="宋体"/>
                <w:color w:val="000000"/>
                <w:kern w:val="0"/>
                <w:sz w:val="18"/>
                <w:szCs w:val="18"/>
              </w:rPr>
              <w:t>高企认定</w:t>
            </w:r>
            <w:r>
              <w:rPr>
                <w:color w:val="000000"/>
                <w:kern w:val="0"/>
                <w:sz w:val="18"/>
                <w:szCs w:val="18"/>
              </w:rPr>
              <w:t>”</w:t>
            </w:r>
            <w:r>
              <w:rPr>
                <w:rFonts w:hint="eastAsia" w:ascii="宋体" w:hAnsi="宋体"/>
                <w:color w:val="000000"/>
                <w:kern w:val="0"/>
                <w:sz w:val="18"/>
                <w:szCs w:val="18"/>
              </w:rPr>
              <w:t>等项目申报材料，项目审核审批遵守相关法律法规和相关管理规定。依据评分标准，得</w:t>
            </w:r>
            <w:r>
              <w:rPr>
                <w:color w:val="000000"/>
                <w:kern w:val="0"/>
                <w:sz w:val="18"/>
                <w:szCs w:val="18"/>
              </w:rPr>
              <w:t>3</w:t>
            </w:r>
            <w:r>
              <w:rPr>
                <w:rFonts w:hint="eastAsia" w:ascii="宋体" w:hAnsi="宋体"/>
                <w:color w:val="000000"/>
                <w:kern w:val="0"/>
                <w:sz w:val="18"/>
                <w:szCs w:val="18"/>
              </w:rPr>
              <w:t>分。</w:t>
            </w:r>
          </w:p>
        </w:tc>
        <w:tc>
          <w:tcPr>
            <w:tcW w:w="604" w:type="dxa"/>
            <w:gridSpan w:val="2"/>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w:t>
            </w:r>
          </w:p>
        </w:tc>
      </w:tr>
      <w:tr>
        <w:tblPrEx>
          <w:tblCellMar>
            <w:top w:w="0" w:type="dxa"/>
            <w:left w:w="108" w:type="dxa"/>
            <w:bottom w:w="0" w:type="dxa"/>
            <w:right w:w="108" w:type="dxa"/>
          </w:tblCellMar>
        </w:tblPrEx>
        <w:trPr>
          <w:trHeight w:val="1275"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7</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ascii="宋体" w:hAnsi="宋体"/>
                <w:kern w:val="0"/>
                <w:sz w:val="18"/>
                <w:szCs w:val="18"/>
              </w:rPr>
              <w:t>审核程序规范性</w:t>
            </w:r>
          </w:p>
        </w:tc>
        <w:tc>
          <w:tcPr>
            <w:tcW w:w="623" w:type="dxa"/>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3</w:t>
            </w:r>
          </w:p>
        </w:tc>
        <w:tc>
          <w:tcPr>
            <w:tcW w:w="2779"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项目实施申报材料是否完整齐全，认定流程是否规范，用以反映相关审核程序的规范性。</w:t>
            </w:r>
          </w:p>
        </w:tc>
        <w:tc>
          <w:tcPr>
            <w:tcW w:w="466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ascii="宋体" w:hAnsi="宋体"/>
                <w:kern w:val="0"/>
                <w:sz w:val="18"/>
                <w:szCs w:val="18"/>
              </w:rPr>
              <w:t>评价要点：</w:t>
            </w:r>
            <w:r>
              <w:rPr>
                <w:kern w:val="0"/>
                <w:sz w:val="18"/>
                <w:szCs w:val="18"/>
              </w:rPr>
              <w:br w:type="textWrapping"/>
            </w:r>
            <w:r>
              <w:rPr>
                <w:kern w:val="0"/>
                <w:sz w:val="18"/>
                <w:szCs w:val="18"/>
              </w:rPr>
              <w:t>1.</w:t>
            </w:r>
            <w:r>
              <w:rPr>
                <w:rFonts w:hint="eastAsia" w:ascii="宋体" w:hAnsi="宋体"/>
                <w:kern w:val="0"/>
                <w:sz w:val="18"/>
                <w:szCs w:val="18"/>
              </w:rPr>
              <w:t>申报材料完整齐全，得</w:t>
            </w:r>
            <w:r>
              <w:rPr>
                <w:kern w:val="0"/>
                <w:sz w:val="18"/>
                <w:szCs w:val="18"/>
              </w:rPr>
              <w:t>1</w:t>
            </w:r>
            <w:r>
              <w:rPr>
                <w:rFonts w:hint="eastAsia" w:ascii="宋体" w:hAnsi="宋体"/>
                <w:kern w:val="0"/>
                <w:sz w:val="18"/>
                <w:szCs w:val="18"/>
              </w:rPr>
              <w:t>分，否则不得分；</w:t>
            </w:r>
            <w:r>
              <w:rPr>
                <w:kern w:val="0"/>
                <w:sz w:val="18"/>
                <w:szCs w:val="18"/>
              </w:rPr>
              <w:br w:type="textWrapping"/>
            </w:r>
            <w:r>
              <w:rPr>
                <w:kern w:val="0"/>
                <w:sz w:val="18"/>
                <w:szCs w:val="18"/>
              </w:rPr>
              <w:t>2.</w:t>
            </w:r>
            <w:r>
              <w:rPr>
                <w:rFonts w:hint="eastAsia" w:ascii="宋体" w:hAnsi="宋体"/>
                <w:kern w:val="0"/>
                <w:sz w:val="18"/>
                <w:szCs w:val="18"/>
              </w:rPr>
              <w:t>审定认定流程规范，得</w:t>
            </w:r>
            <w:r>
              <w:rPr>
                <w:kern w:val="0"/>
                <w:sz w:val="18"/>
                <w:szCs w:val="18"/>
              </w:rPr>
              <w:t>1</w:t>
            </w:r>
            <w:r>
              <w:rPr>
                <w:rFonts w:hint="eastAsia" w:ascii="宋体" w:hAnsi="宋体"/>
                <w:kern w:val="0"/>
                <w:sz w:val="18"/>
                <w:szCs w:val="18"/>
              </w:rPr>
              <w:t>分，否则不得分；</w:t>
            </w:r>
            <w:r>
              <w:rPr>
                <w:kern w:val="0"/>
                <w:sz w:val="18"/>
                <w:szCs w:val="18"/>
              </w:rPr>
              <w:br w:type="textWrapping"/>
            </w:r>
            <w:r>
              <w:rPr>
                <w:kern w:val="0"/>
                <w:sz w:val="18"/>
                <w:szCs w:val="18"/>
              </w:rPr>
              <w:t>3.</w:t>
            </w:r>
            <w:r>
              <w:rPr>
                <w:rFonts w:hint="eastAsia" w:ascii="宋体" w:hAnsi="宋体"/>
                <w:kern w:val="0"/>
                <w:sz w:val="18"/>
                <w:szCs w:val="18"/>
              </w:rPr>
              <w:t>对审核认定结果进行公示，且公示内容和格式符合要求的，得</w:t>
            </w:r>
            <w:r>
              <w:rPr>
                <w:kern w:val="0"/>
                <w:sz w:val="18"/>
                <w:szCs w:val="18"/>
              </w:rPr>
              <w:t>1</w:t>
            </w:r>
            <w:r>
              <w:rPr>
                <w:rFonts w:hint="eastAsia" w:ascii="宋体" w:hAnsi="宋体"/>
                <w:kern w:val="0"/>
                <w:sz w:val="18"/>
                <w:szCs w:val="18"/>
              </w:rPr>
              <w:t>分，否则不得分。</w:t>
            </w:r>
          </w:p>
        </w:tc>
        <w:tc>
          <w:tcPr>
            <w:tcW w:w="340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通过现场查阅</w:t>
            </w:r>
            <w:r>
              <w:rPr>
                <w:color w:val="000000"/>
                <w:kern w:val="0"/>
                <w:sz w:val="18"/>
                <w:szCs w:val="18"/>
              </w:rPr>
              <w:t>“2020</w:t>
            </w:r>
            <w:r>
              <w:rPr>
                <w:rFonts w:hint="eastAsia" w:ascii="宋体" w:hAnsi="宋体"/>
                <w:color w:val="000000"/>
                <w:kern w:val="0"/>
                <w:sz w:val="18"/>
                <w:szCs w:val="18"/>
              </w:rPr>
              <w:t>年度规上企业研发投入奖补</w:t>
            </w:r>
            <w:r>
              <w:rPr>
                <w:color w:val="000000"/>
                <w:kern w:val="0"/>
                <w:sz w:val="18"/>
                <w:szCs w:val="18"/>
              </w:rPr>
              <w:t>”</w:t>
            </w:r>
            <w:r>
              <w:rPr>
                <w:rFonts w:hint="eastAsia" w:ascii="宋体" w:hAnsi="宋体"/>
                <w:color w:val="000000"/>
                <w:kern w:val="0"/>
                <w:sz w:val="18"/>
                <w:szCs w:val="18"/>
              </w:rPr>
              <w:t>、</w:t>
            </w:r>
            <w:r>
              <w:rPr>
                <w:color w:val="000000"/>
                <w:kern w:val="0"/>
                <w:sz w:val="18"/>
                <w:szCs w:val="18"/>
              </w:rPr>
              <w:t>“</w:t>
            </w:r>
            <w:r>
              <w:rPr>
                <w:rFonts w:hint="eastAsia" w:ascii="宋体" w:hAnsi="宋体"/>
                <w:color w:val="000000"/>
                <w:kern w:val="0"/>
                <w:sz w:val="18"/>
                <w:szCs w:val="18"/>
              </w:rPr>
              <w:t>高企认定</w:t>
            </w:r>
            <w:r>
              <w:rPr>
                <w:color w:val="000000"/>
                <w:kern w:val="0"/>
                <w:sz w:val="18"/>
                <w:szCs w:val="18"/>
              </w:rPr>
              <w:t>”</w:t>
            </w:r>
            <w:r>
              <w:rPr>
                <w:rFonts w:hint="eastAsia" w:ascii="宋体" w:hAnsi="宋体"/>
                <w:color w:val="000000"/>
                <w:kern w:val="0"/>
                <w:sz w:val="18"/>
                <w:szCs w:val="18"/>
              </w:rPr>
              <w:t>等项目申报材料，申报材料完整齐全、审核流程规范并对审核认定结果进行公示；依据评分标准，得</w:t>
            </w:r>
            <w:r>
              <w:rPr>
                <w:color w:val="000000"/>
                <w:kern w:val="0"/>
                <w:sz w:val="18"/>
                <w:szCs w:val="18"/>
              </w:rPr>
              <w:t>3</w:t>
            </w:r>
            <w:r>
              <w:rPr>
                <w:rFonts w:hint="eastAsia" w:ascii="宋体" w:hAnsi="宋体"/>
                <w:color w:val="000000"/>
                <w:kern w:val="0"/>
                <w:sz w:val="18"/>
                <w:szCs w:val="18"/>
              </w:rPr>
              <w:t>分。</w:t>
            </w:r>
          </w:p>
        </w:tc>
        <w:tc>
          <w:tcPr>
            <w:tcW w:w="604" w:type="dxa"/>
            <w:gridSpan w:val="2"/>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w:t>
            </w:r>
          </w:p>
        </w:tc>
      </w:tr>
      <w:tr>
        <w:tblPrEx>
          <w:tblCellMar>
            <w:top w:w="0" w:type="dxa"/>
            <w:left w:w="108" w:type="dxa"/>
            <w:bottom w:w="0" w:type="dxa"/>
            <w:right w:w="108" w:type="dxa"/>
          </w:tblCellMar>
        </w:tblPrEx>
        <w:trPr>
          <w:trHeight w:val="1755"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8</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ascii="宋体" w:hAnsi="宋体"/>
                <w:kern w:val="0"/>
                <w:sz w:val="18"/>
                <w:szCs w:val="18"/>
              </w:rPr>
              <w:t>绩效运行监控有效性</w:t>
            </w:r>
          </w:p>
        </w:tc>
        <w:tc>
          <w:tcPr>
            <w:tcW w:w="623" w:type="dxa"/>
            <w:tcBorders>
              <w:top w:val="nil"/>
              <w:left w:val="nil"/>
              <w:bottom w:val="single" w:color="auto" w:sz="4" w:space="0"/>
              <w:right w:val="single" w:color="auto" w:sz="4" w:space="0"/>
            </w:tcBorders>
            <w:shd w:val="clear" w:color="auto" w:fill="auto"/>
            <w:noWrap/>
            <w:vAlign w:val="center"/>
          </w:tcPr>
          <w:p>
            <w:pPr>
              <w:widowControl/>
              <w:jc w:val="center"/>
              <w:rPr>
                <w:kern w:val="0"/>
                <w:sz w:val="18"/>
                <w:szCs w:val="18"/>
              </w:rPr>
            </w:pPr>
            <w:r>
              <w:rPr>
                <w:kern w:val="0"/>
                <w:sz w:val="18"/>
                <w:szCs w:val="18"/>
              </w:rPr>
              <w:t>2</w:t>
            </w:r>
          </w:p>
        </w:tc>
        <w:tc>
          <w:tcPr>
            <w:tcW w:w="2779"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是否建立健全跟踪评估及服务机制，用以反映政策实施后主管部门后续跟踪评估及服务工作落实情况。</w:t>
            </w:r>
          </w:p>
        </w:tc>
        <w:tc>
          <w:tcPr>
            <w:tcW w:w="466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评价要点：</w:t>
            </w:r>
          </w:p>
          <w:p>
            <w:pPr>
              <w:widowControl/>
              <w:jc w:val="left"/>
              <w:rPr>
                <w:rFonts w:ascii="宋体" w:hAnsi="宋体"/>
                <w:kern w:val="0"/>
                <w:sz w:val="18"/>
                <w:szCs w:val="18"/>
              </w:rPr>
            </w:pPr>
            <w:r>
              <w:rPr>
                <w:rFonts w:hint="eastAsia"/>
                <w:kern w:val="0"/>
                <w:sz w:val="18"/>
                <w:szCs w:val="18"/>
              </w:rPr>
              <w:t>1.</w:t>
            </w:r>
            <w:r>
              <w:rPr>
                <w:kern w:val="0"/>
                <w:sz w:val="18"/>
                <w:szCs w:val="18"/>
              </w:rPr>
              <w:br w:type="page"/>
            </w:r>
            <w:r>
              <w:rPr>
                <w:rFonts w:hint="eastAsia" w:ascii="宋体" w:hAnsi="宋体"/>
                <w:kern w:val="0"/>
                <w:sz w:val="18"/>
                <w:szCs w:val="18"/>
              </w:rPr>
              <w:t>已制定或具有绩效运行监控措施或机制，得</w:t>
            </w:r>
            <w:r>
              <w:rPr>
                <w:kern w:val="0"/>
                <w:sz w:val="18"/>
                <w:szCs w:val="18"/>
              </w:rPr>
              <w:t>1</w:t>
            </w:r>
            <w:r>
              <w:rPr>
                <w:rFonts w:hint="eastAsia" w:ascii="宋体" w:hAnsi="宋体"/>
                <w:kern w:val="0"/>
                <w:sz w:val="18"/>
                <w:szCs w:val="18"/>
              </w:rPr>
              <w:t>分，否则不得分；</w:t>
            </w:r>
          </w:p>
          <w:p>
            <w:pPr>
              <w:widowControl/>
              <w:jc w:val="left"/>
              <w:rPr>
                <w:kern w:val="0"/>
                <w:sz w:val="18"/>
                <w:szCs w:val="18"/>
              </w:rPr>
            </w:pPr>
            <w:r>
              <w:rPr>
                <w:kern w:val="0"/>
                <w:sz w:val="18"/>
                <w:szCs w:val="18"/>
              </w:rPr>
              <w:br w:type="page"/>
            </w:r>
            <w:r>
              <w:rPr>
                <w:kern w:val="0"/>
                <w:sz w:val="18"/>
                <w:szCs w:val="18"/>
              </w:rPr>
              <w:t>2.</w:t>
            </w:r>
            <w:r>
              <w:rPr>
                <w:rFonts w:hint="eastAsia" w:ascii="宋体" w:hAnsi="宋体"/>
                <w:kern w:val="0"/>
                <w:sz w:val="18"/>
                <w:szCs w:val="18"/>
              </w:rPr>
              <w:t>适时组织开展跟踪服务工作，并对相关项目申报企业存在问题及时提供解决方案，得</w:t>
            </w:r>
            <w:r>
              <w:rPr>
                <w:kern w:val="0"/>
                <w:sz w:val="18"/>
                <w:szCs w:val="18"/>
              </w:rPr>
              <w:t>1</w:t>
            </w:r>
            <w:r>
              <w:rPr>
                <w:rFonts w:hint="eastAsia" w:ascii="宋体" w:hAnsi="宋体"/>
                <w:kern w:val="0"/>
                <w:sz w:val="18"/>
                <w:szCs w:val="18"/>
              </w:rPr>
              <w:t>分，否则不得分。</w:t>
            </w:r>
          </w:p>
        </w:tc>
        <w:tc>
          <w:tcPr>
            <w:tcW w:w="3401" w:type="dxa"/>
            <w:gridSpan w:val="2"/>
            <w:tcBorders>
              <w:top w:val="nil"/>
              <w:left w:val="nil"/>
              <w:bottom w:val="single" w:color="auto" w:sz="4" w:space="0"/>
              <w:right w:val="single" w:color="auto" w:sz="4" w:space="0"/>
            </w:tcBorders>
            <w:shd w:val="clear" w:color="auto" w:fill="auto"/>
            <w:noWrap/>
            <w:vAlign w:val="center"/>
          </w:tcPr>
          <w:p>
            <w:pPr>
              <w:widowControl/>
              <w:rPr>
                <w:color w:val="000000"/>
                <w:kern w:val="0"/>
                <w:sz w:val="18"/>
                <w:szCs w:val="18"/>
              </w:rPr>
            </w:pPr>
            <w:r>
              <w:rPr>
                <w:rFonts w:hint="eastAsia" w:ascii="宋体" w:hAnsi="宋体"/>
                <w:color w:val="000000"/>
                <w:kern w:val="0"/>
                <w:sz w:val="18"/>
                <w:szCs w:val="18"/>
              </w:rPr>
              <w:t>六安市科技局制定《六安市众创空间备案及绩效评价管理办法（试行）》（六科高〔</w:t>
            </w:r>
            <w:r>
              <w:rPr>
                <w:color w:val="000000"/>
                <w:kern w:val="0"/>
                <w:sz w:val="18"/>
                <w:szCs w:val="18"/>
              </w:rPr>
              <w:t>2020</w:t>
            </w:r>
            <w:r>
              <w:rPr>
                <w:rFonts w:hint="eastAsia" w:ascii="宋体" w:hAnsi="宋体"/>
                <w:color w:val="000000"/>
                <w:kern w:val="0"/>
                <w:sz w:val="18"/>
                <w:szCs w:val="18"/>
              </w:rPr>
              <w:t>〕</w:t>
            </w:r>
            <w:r>
              <w:rPr>
                <w:color w:val="000000"/>
                <w:kern w:val="0"/>
                <w:sz w:val="18"/>
                <w:szCs w:val="18"/>
              </w:rPr>
              <w:t>50</w:t>
            </w:r>
            <w:r>
              <w:rPr>
                <w:rFonts w:hint="eastAsia" w:ascii="宋体" w:hAnsi="宋体"/>
                <w:color w:val="000000"/>
                <w:kern w:val="0"/>
                <w:sz w:val="18"/>
                <w:szCs w:val="18"/>
              </w:rPr>
              <w:t>号）等绩效运行监控机制；依据《六安市众创空间备案及绩效评价管理办法（试行）》（六科高〔</w:t>
            </w:r>
            <w:r>
              <w:rPr>
                <w:color w:val="000000"/>
                <w:kern w:val="0"/>
                <w:sz w:val="18"/>
                <w:szCs w:val="18"/>
              </w:rPr>
              <w:t>2020</w:t>
            </w:r>
            <w:r>
              <w:rPr>
                <w:rFonts w:hint="eastAsia" w:ascii="宋体" w:hAnsi="宋体"/>
                <w:color w:val="000000"/>
                <w:kern w:val="0"/>
                <w:sz w:val="18"/>
                <w:szCs w:val="18"/>
              </w:rPr>
              <w:t>〕</w:t>
            </w:r>
            <w:r>
              <w:rPr>
                <w:color w:val="000000"/>
                <w:kern w:val="0"/>
                <w:sz w:val="18"/>
                <w:szCs w:val="18"/>
              </w:rPr>
              <w:t>50</w:t>
            </w:r>
            <w:r>
              <w:rPr>
                <w:rFonts w:hint="eastAsia" w:ascii="宋体" w:hAnsi="宋体"/>
                <w:color w:val="000000"/>
                <w:kern w:val="0"/>
                <w:sz w:val="18"/>
                <w:szCs w:val="18"/>
              </w:rPr>
              <w:t>号）第十二条市科技局按照绩效评价指标，每年对市级众创空间开展绩效评价，对相关责任主体进行信用审核。截至评价日，未开展</w:t>
            </w:r>
            <w:r>
              <w:rPr>
                <w:color w:val="000000"/>
                <w:kern w:val="0"/>
                <w:sz w:val="18"/>
                <w:szCs w:val="18"/>
              </w:rPr>
              <w:t>2021</w:t>
            </w:r>
            <w:r>
              <w:rPr>
                <w:rFonts w:hint="eastAsia" w:ascii="宋体" w:hAnsi="宋体"/>
                <w:color w:val="000000"/>
                <w:kern w:val="0"/>
                <w:sz w:val="18"/>
                <w:szCs w:val="18"/>
              </w:rPr>
              <w:t>年市级众创空间开展绩效评价工作；依据评分标准，扣</w:t>
            </w:r>
            <w:r>
              <w:rPr>
                <w:color w:val="000000"/>
                <w:kern w:val="0"/>
                <w:sz w:val="18"/>
                <w:szCs w:val="18"/>
              </w:rPr>
              <w:t>1</w:t>
            </w:r>
            <w:r>
              <w:rPr>
                <w:rFonts w:hint="eastAsia" w:ascii="宋体" w:hAnsi="宋体"/>
                <w:color w:val="000000"/>
                <w:kern w:val="0"/>
                <w:sz w:val="18"/>
                <w:szCs w:val="18"/>
              </w:rPr>
              <w:t>分，得</w:t>
            </w:r>
            <w:r>
              <w:rPr>
                <w:color w:val="000000"/>
                <w:kern w:val="0"/>
                <w:sz w:val="18"/>
                <w:szCs w:val="18"/>
              </w:rPr>
              <w:t>1</w:t>
            </w:r>
            <w:r>
              <w:rPr>
                <w:rFonts w:hint="eastAsia" w:ascii="宋体" w:hAnsi="宋体"/>
                <w:color w:val="000000"/>
                <w:kern w:val="0"/>
                <w:sz w:val="18"/>
                <w:szCs w:val="18"/>
              </w:rPr>
              <w:t>分。</w:t>
            </w:r>
          </w:p>
        </w:tc>
        <w:tc>
          <w:tcPr>
            <w:tcW w:w="604" w:type="dxa"/>
            <w:gridSpan w:val="2"/>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w:t>
            </w:r>
          </w:p>
        </w:tc>
      </w:tr>
      <w:tr>
        <w:tblPrEx>
          <w:tblCellMar>
            <w:top w:w="0" w:type="dxa"/>
            <w:left w:w="108" w:type="dxa"/>
            <w:bottom w:w="0" w:type="dxa"/>
            <w:right w:w="108" w:type="dxa"/>
          </w:tblCellMar>
        </w:tblPrEx>
        <w:trPr>
          <w:trHeight w:val="1057"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9</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过程</w:t>
            </w:r>
            <w:r>
              <w:rPr>
                <w:rFonts w:hint="eastAsia" w:ascii="宋体" w:hAnsi="宋体"/>
                <w:color w:val="000000"/>
                <w:kern w:val="0"/>
                <w:sz w:val="18"/>
                <w:szCs w:val="18"/>
              </w:rPr>
              <w:br w:type="textWrapping"/>
            </w:r>
            <w:r>
              <w:rPr>
                <w:rFonts w:hint="eastAsia" w:ascii="宋体" w:hAnsi="宋体"/>
                <w:color w:val="000000"/>
                <w:kern w:val="0"/>
                <w:sz w:val="18"/>
                <w:szCs w:val="18"/>
              </w:rPr>
              <w:t>（续前页）</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管理有效性</w:t>
            </w:r>
            <w:r>
              <w:rPr>
                <w:color w:val="000000"/>
                <w:kern w:val="0"/>
                <w:sz w:val="18"/>
                <w:szCs w:val="18"/>
              </w:rPr>
              <w:br w:type="textWrapping"/>
            </w:r>
            <w:r>
              <w:rPr>
                <w:rFonts w:hint="eastAsia" w:ascii="宋体" w:hAnsi="宋体"/>
                <w:color w:val="000000"/>
                <w:kern w:val="0"/>
                <w:sz w:val="18"/>
                <w:szCs w:val="18"/>
              </w:rPr>
              <w:t>（</w:t>
            </w:r>
            <w:r>
              <w:rPr>
                <w:color w:val="000000"/>
                <w:kern w:val="0"/>
                <w:sz w:val="18"/>
                <w:szCs w:val="18"/>
              </w:rPr>
              <w:t>6</w:t>
            </w:r>
            <w:r>
              <w:rPr>
                <w:rFonts w:hint="eastAsia" w:ascii="宋体" w:hAnsi="宋体"/>
                <w:color w:val="000000"/>
                <w:kern w:val="0"/>
                <w:sz w:val="18"/>
                <w:szCs w:val="18"/>
              </w:rPr>
              <w:t>分）</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ascii="宋体" w:hAnsi="宋体"/>
                <w:color w:val="000000"/>
                <w:kern w:val="0"/>
                <w:sz w:val="18"/>
                <w:szCs w:val="18"/>
              </w:rPr>
              <w:t>资金管理</w:t>
            </w:r>
          </w:p>
        </w:tc>
        <w:tc>
          <w:tcPr>
            <w:tcW w:w="62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5</w:t>
            </w:r>
          </w:p>
        </w:tc>
        <w:tc>
          <w:tcPr>
            <w:tcW w:w="2779"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项目兑现资金使用是否符合专项资金管理办法或相关的财务管理制度规定，用以反映和考核项目资金的规范运行情况。</w:t>
            </w:r>
          </w:p>
        </w:tc>
        <w:tc>
          <w:tcPr>
            <w:tcW w:w="466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 xml:space="preserve">评价要点：  </w:t>
            </w:r>
            <w:r>
              <w:rPr>
                <w:color w:val="000000"/>
                <w:kern w:val="0"/>
                <w:sz w:val="18"/>
                <w:szCs w:val="18"/>
              </w:rPr>
              <w:br w:type="textWrapping"/>
            </w:r>
            <w:r>
              <w:rPr>
                <w:color w:val="000000"/>
                <w:kern w:val="0"/>
                <w:sz w:val="18"/>
                <w:szCs w:val="18"/>
              </w:rPr>
              <w:t xml:space="preserve">1.项目资金拨付程序和使用范围符合专项资金管理办法规定，得1分，否则不得分；                                                                                                                              2.项目单位对专项资金进行专项核算，且做到了专款专用，得1分，否则不得分；                                                                                                                 </w:t>
            </w:r>
            <w:r>
              <w:rPr>
                <w:color w:val="000000"/>
                <w:kern w:val="0"/>
                <w:sz w:val="18"/>
                <w:szCs w:val="18"/>
              </w:rPr>
              <w:br w:type="textWrapping"/>
            </w:r>
            <w:r>
              <w:rPr>
                <w:color w:val="000000"/>
                <w:kern w:val="0"/>
                <w:sz w:val="18"/>
                <w:szCs w:val="18"/>
              </w:rPr>
              <w:t>3.兑现资金分配依据充分、资金分配额度合理，且符合实施细则规定的标准，得1分，否则不得分；</w:t>
            </w:r>
            <w:r>
              <w:rPr>
                <w:color w:val="000000"/>
                <w:kern w:val="0"/>
                <w:sz w:val="18"/>
                <w:szCs w:val="18"/>
              </w:rPr>
              <w:br w:type="textWrapping"/>
            </w:r>
            <w:r>
              <w:rPr>
                <w:color w:val="000000"/>
                <w:kern w:val="0"/>
                <w:sz w:val="18"/>
                <w:szCs w:val="18"/>
              </w:rPr>
              <w:t>4.专项资金不存在截留、挤占、挪用，弄虚作假骗取套取等违反资金管理规定的现象，得2分，否则不得分。</w:t>
            </w:r>
          </w:p>
        </w:tc>
        <w:tc>
          <w:tcPr>
            <w:tcW w:w="340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项目资金拨付程序和使用范围符合专项资金管理办法规定；兑现资金分配依据充分、资金分配额度合理，且符合实施细则规定的标准；专项资金不存在截留、挤占、挪用，弄虚作假骗取套取等违反资金管理规定的现象。经查阅，六安市科学技术局</w:t>
            </w:r>
            <w:r>
              <w:rPr>
                <w:color w:val="000000"/>
                <w:kern w:val="0"/>
                <w:sz w:val="18"/>
                <w:szCs w:val="18"/>
              </w:rPr>
              <w:t>2022</w:t>
            </w:r>
            <w:r>
              <w:rPr>
                <w:rFonts w:hint="eastAsia" w:ascii="宋体" w:hAnsi="宋体"/>
                <w:color w:val="000000"/>
                <w:kern w:val="0"/>
                <w:sz w:val="18"/>
                <w:szCs w:val="18"/>
              </w:rPr>
              <w:t>年拨付</w:t>
            </w:r>
            <w:r>
              <w:rPr>
                <w:color w:val="000000"/>
                <w:kern w:val="0"/>
                <w:sz w:val="18"/>
                <w:szCs w:val="18"/>
              </w:rPr>
              <w:t>2021</w:t>
            </w:r>
            <w:r>
              <w:rPr>
                <w:rFonts w:hint="eastAsia" w:ascii="宋体" w:hAnsi="宋体"/>
                <w:color w:val="000000"/>
                <w:kern w:val="0"/>
                <w:sz w:val="18"/>
                <w:szCs w:val="18"/>
              </w:rPr>
              <w:t>年度市科创中心孵化资金共计177.02万元，拨付省（市）属高校和科研机构科技创新专项资金399.80万元；在</w:t>
            </w:r>
            <w:r>
              <w:rPr>
                <w:color w:val="000000"/>
                <w:kern w:val="0"/>
                <w:sz w:val="18"/>
                <w:szCs w:val="18"/>
              </w:rPr>
              <w:t>“71010102</w:t>
            </w:r>
            <w:r>
              <w:rPr>
                <w:rFonts w:hint="eastAsia" w:ascii="宋体" w:hAnsi="宋体"/>
                <w:color w:val="000000"/>
                <w:kern w:val="0"/>
                <w:sz w:val="18"/>
                <w:szCs w:val="18"/>
              </w:rPr>
              <w:t>项目支出</w:t>
            </w:r>
            <w:r>
              <w:rPr>
                <w:color w:val="000000"/>
                <w:kern w:val="0"/>
                <w:sz w:val="18"/>
                <w:szCs w:val="18"/>
              </w:rPr>
              <w:t>”</w:t>
            </w:r>
            <w:r>
              <w:rPr>
                <w:rFonts w:hint="eastAsia" w:ascii="宋体" w:hAnsi="宋体"/>
                <w:color w:val="000000"/>
                <w:kern w:val="0"/>
                <w:sz w:val="18"/>
                <w:szCs w:val="18"/>
              </w:rPr>
              <w:t>会计科目内核算，未进行专项核算。依据评分标准，扣</w:t>
            </w:r>
            <w:r>
              <w:rPr>
                <w:color w:val="000000"/>
                <w:kern w:val="0"/>
                <w:sz w:val="18"/>
                <w:szCs w:val="18"/>
              </w:rPr>
              <w:t>1</w:t>
            </w:r>
            <w:r>
              <w:rPr>
                <w:rFonts w:hint="eastAsia" w:ascii="宋体" w:hAnsi="宋体"/>
                <w:color w:val="000000"/>
                <w:kern w:val="0"/>
                <w:sz w:val="18"/>
                <w:szCs w:val="18"/>
              </w:rPr>
              <w:t>分，得</w:t>
            </w:r>
            <w:r>
              <w:rPr>
                <w:color w:val="000000"/>
                <w:kern w:val="0"/>
                <w:sz w:val="18"/>
                <w:szCs w:val="18"/>
              </w:rPr>
              <w:t>4</w:t>
            </w:r>
            <w:r>
              <w:rPr>
                <w:rFonts w:hint="eastAsia" w:ascii="宋体" w:hAnsi="宋体"/>
                <w:color w:val="000000"/>
                <w:kern w:val="0"/>
                <w:sz w:val="18"/>
                <w:szCs w:val="18"/>
              </w:rPr>
              <w:t>分。</w:t>
            </w:r>
          </w:p>
        </w:tc>
        <w:tc>
          <w:tcPr>
            <w:tcW w:w="604" w:type="dxa"/>
            <w:gridSpan w:val="2"/>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w:t>
            </w:r>
          </w:p>
        </w:tc>
      </w:tr>
      <w:tr>
        <w:tblPrEx>
          <w:tblCellMar>
            <w:top w:w="0" w:type="dxa"/>
            <w:left w:w="108" w:type="dxa"/>
            <w:bottom w:w="0" w:type="dxa"/>
            <w:right w:w="108" w:type="dxa"/>
          </w:tblCellMar>
        </w:tblPrEx>
        <w:trPr>
          <w:trHeight w:val="1755"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10</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ascii="宋体" w:hAnsi="宋体"/>
                <w:color w:val="000000"/>
                <w:kern w:val="0"/>
                <w:sz w:val="18"/>
                <w:szCs w:val="18"/>
              </w:rPr>
              <w:t>涉企系统应用</w:t>
            </w:r>
          </w:p>
        </w:tc>
        <w:tc>
          <w:tcPr>
            <w:tcW w:w="62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w:t>
            </w:r>
          </w:p>
        </w:tc>
        <w:tc>
          <w:tcPr>
            <w:tcW w:w="2779"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项目实施单位是否及时将项目申报信息录入财政涉企项目资金管理信息系统，用以反映录入的及时性和有效性。</w:t>
            </w:r>
          </w:p>
        </w:tc>
        <w:tc>
          <w:tcPr>
            <w:tcW w:w="466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评价要点：</w:t>
            </w:r>
            <w:r>
              <w:rPr>
                <w:color w:val="000000"/>
                <w:kern w:val="0"/>
                <w:sz w:val="18"/>
                <w:szCs w:val="18"/>
              </w:rPr>
              <w:br w:type="textWrapping"/>
            </w:r>
            <w:r>
              <w:rPr>
                <w:color w:val="000000"/>
                <w:kern w:val="0"/>
                <w:sz w:val="18"/>
                <w:szCs w:val="18"/>
              </w:rPr>
              <w:t>1.</w:t>
            </w:r>
            <w:r>
              <w:rPr>
                <w:rFonts w:hint="eastAsia" w:ascii="宋体" w:hAnsi="宋体"/>
                <w:color w:val="000000"/>
                <w:kern w:val="0"/>
                <w:sz w:val="18"/>
                <w:szCs w:val="18"/>
              </w:rPr>
              <w:t>项目实施单位将项目申报信息录入财政涉企项目资金管理信息系统中，得</w:t>
            </w:r>
            <w:r>
              <w:rPr>
                <w:color w:val="000000"/>
                <w:kern w:val="0"/>
                <w:sz w:val="18"/>
                <w:szCs w:val="18"/>
              </w:rPr>
              <w:t>0.5</w:t>
            </w:r>
            <w:r>
              <w:rPr>
                <w:rFonts w:hint="eastAsia" w:ascii="宋体" w:hAnsi="宋体"/>
                <w:color w:val="000000"/>
                <w:kern w:val="0"/>
                <w:sz w:val="18"/>
                <w:szCs w:val="18"/>
              </w:rPr>
              <w:t>分，否则不得分；</w:t>
            </w:r>
            <w:r>
              <w:rPr>
                <w:color w:val="000000"/>
                <w:kern w:val="0"/>
                <w:sz w:val="18"/>
                <w:szCs w:val="18"/>
              </w:rPr>
              <w:t xml:space="preserve">             </w:t>
            </w:r>
            <w:r>
              <w:rPr>
                <w:color w:val="000000"/>
                <w:kern w:val="0"/>
                <w:sz w:val="18"/>
                <w:szCs w:val="18"/>
              </w:rPr>
              <w:br w:type="textWrapping"/>
            </w:r>
            <w:r>
              <w:rPr>
                <w:color w:val="000000"/>
                <w:kern w:val="0"/>
                <w:sz w:val="18"/>
                <w:szCs w:val="18"/>
              </w:rPr>
              <w:t>2.</w:t>
            </w:r>
            <w:r>
              <w:rPr>
                <w:rFonts w:hint="eastAsia" w:ascii="宋体" w:hAnsi="宋体"/>
                <w:color w:val="000000"/>
                <w:kern w:val="0"/>
                <w:sz w:val="18"/>
                <w:szCs w:val="18"/>
              </w:rPr>
              <w:t>录入的信息是规范、完整，得</w:t>
            </w:r>
            <w:r>
              <w:rPr>
                <w:color w:val="000000"/>
                <w:kern w:val="0"/>
                <w:sz w:val="18"/>
                <w:szCs w:val="18"/>
              </w:rPr>
              <w:t>0.5</w:t>
            </w:r>
            <w:r>
              <w:rPr>
                <w:rFonts w:hint="eastAsia" w:ascii="宋体" w:hAnsi="宋体"/>
                <w:color w:val="000000"/>
                <w:kern w:val="0"/>
                <w:sz w:val="18"/>
                <w:szCs w:val="18"/>
              </w:rPr>
              <w:t>分，否则不得分。</w:t>
            </w:r>
          </w:p>
        </w:tc>
        <w:tc>
          <w:tcPr>
            <w:tcW w:w="340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根据《六安市财政局关于进一步做好财政涉企项目资金管理信息系统应用工作的通知》要求市直主管部门负责在涉企系统中录入项目申报信息做到应录尽录。</w:t>
            </w:r>
            <w:r>
              <w:rPr>
                <w:color w:val="000000"/>
                <w:kern w:val="0"/>
                <w:sz w:val="18"/>
                <w:szCs w:val="18"/>
              </w:rPr>
              <w:t>2022</w:t>
            </w:r>
            <w:r>
              <w:rPr>
                <w:rFonts w:hint="eastAsia" w:ascii="宋体" w:hAnsi="宋体"/>
                <w:color w:val="000000"/>
                <w:kern w:val="0"/>
                <w:sz w:val="18"/>
                <w:szCs w:val="18"/>
              </w:rPr>
              <w:t>年孵化资金补助</w:t>
            </w:r>
            <w:r>
              <w:rPr>
                <w:color w:val="000000"/>
                <w:kern w:val="0"/>
                <w:sz w:val="18"/>
                <w:szCs w:val="18"/>
              </w:rPr>
              <w:t>176</w:t>
            </w:r>
            <w:r>
              <w:rPr>
                <w:rFonts w:hint="eastAsia" w:ascii="宋体" w:hAnsi="宋体"/>
                <w:color w:val="000000"/>
                <w:kern w:val="0"/>
                <w:sz w:val="18"/>
                <w:szCs w:val="18"/>
              </w:rPr>
              <w:t>万元（</w:t>
            </w:r>
            <w:r>
              <w:rPr>
                <w:color w:val="000000"/>
                <w:kern w:val="0"/>
                <w:sz w:val="18"/>
                <w:szCs w:val="18"/>
              </w:rPr>
              <w:t>11</w:t>
            </w:r>
            <w:r>
              <w:rPr>
                <w:rFonts w:hint="eastAsia" w:ascii="宋体" w:hAnsi="宋体"/>
                <w:color w:val="000000"/>
                <w:kern w:val="0"/>
                <w:sz w:val="18"/>
                <w:szCs w:val="18"/>
              </w:rPr>
              <w:t>个项目），未录入</w:t>
            </w:r>
            <w:r>
              <w:rPr>
                <w:color w:val="000000"/>
                <w:kern w:val="0"/>
                <w:sz w:val="18"/>
                <w:szCs w:val="18"/>
              </w:rPr>
              <w:t>“</w:t>
            </w:r>
            <w:r>
              <w:rPr>
                <w:rFonts w:hint="eastAsia" w:ascii="宋体" w:hAnsi="宋体"/>
                <w:color w:val="000000"/>
                <w:kern w:val="0"/>
                <w:sz w:val="18"/>
                <w:szCs w:val="18"/>
              </w:rPr>
              <w:t>涉企系统</w:t>
            </w:r>
            <w:r>
              <w:rPr>
                <w:color w:val="000000"/>
                <w:kern w:val="0"/>
                <w:sz w:val="18"/>
                <w:szCs w:val="18"/>
              </w:rPr>
              <w:t>”</w:t>
            </w:r>
            <w:r>
              <w:rPr>
                <w:rFonts w:hint="eastAsia" w:ascii="宋体" w:hAnsi="宋体"/>
                <w:color w:val="000000"/>
                <w:kern w:val="0"/>
                <w:sz w:val="18"/>
                <w:szCs w:val="18"/>
              </w:rPr>
              <w:t>。依据评分标准，扣</w:t>
            </w:r>
            <w:r>
              <w:rPr>
                <w:color w:val="000000"/>
                <w:kern w:val="0"/>
                <w:sz w:val="18"/>
                <w:szCs w:val="18"/>
              </w:rPr>
              <w:t>0.5</w:t>
            </w:r>
            <w:r>
              <w:rPr>
                <w:rFonts w:hint="eastAsia" w:ascii="宋体" w:hAnsi="宋体"/>
                <w:color w:val="000000"/>
                <w:kern w:val="0"/>
                <w:sz w:val="18"/>
                <w:szCs w:val="18"/>
              </w:rPr>
              <w:t>分，得</w:t>
            </w:r>
            <w:r>
              <w:rPr>
                <w:color w:val="000000"/>
                <w:kern w:val="0"/>
                <w:sz w:val="18"/>
                <w:szCs w:val="18"/>
              </w:rPr>
              <w:t>0.5</w:t>
            </w:r>
            <w:r>
              <w:rPr>
                <w:rFonts w:hint="eastAsia" w:ascii="宋体" w:hAnsi="宋体"/>
                <w:color w:val="000000"/>
                <w:kern w:val="0"/>
                <w:sz w:val="18"/>
                <w:szCs w:val="18"/>
              </w:rPr>
              <w:t>分。</w:t>
            </w:r>
          </w:p>
        </w:tc>
        <w:tc>
          <w:tcPr>
            <w:tcW w:w="604" w:type="dxa"/>
            <w:gridSpan w:val="2"/>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0.5</w:t>
            </w:r>
          </w:p>
        </w:tc>
      </w:tr>
      <w:tr>
        <w:tblPrEx>
          <w:tblCellMar>
            <w:top w:w="0" w:type="dxa"/>
            <w:left w:w="108" w:type="dxa"/>
            <w:bottom w:w="0" w:type="dxa"/>
            <w:right w:w="108" w:type="dxa"/>
          </w:tblCellMar>
        </w:tblPrEx>
        <w:trPr>
          <w:trHeight w:val="1110"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11</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产出</w:t>
            </w:r>
            <w:r>
              <w:rPr>
                <w:color w:val="000000"/>
                <w:kern w:val="0"/>
                <w:sz w:val="18"/>
                <w:szCs w:val="18"/>
              </w:rPr>
              <w:br w:type="textWrapping"/>
            </w:r>
            <w:r>
              <w:rPr>
                <w:rFonts w:hint="eastAsia" w:ascii="宋体" w:hAnsi="宋体"/>
                <w:color w:val="000000"/>
                <w:kern w:val="0"/>
                <w:sz w:val="18"/>
                <w:szCs w:val="18"/>
              </w:rPr>
              <w:t>（</w:t>
            </w:r>
            <w:r>
              <w:rPr>
                <w:color w:val="000000"/>
                <w:kern w:val="0"/>
                <w:sz w:val="18"/>
                <w:szCs w:val="18"/>
              </w:rPr>
              <w:t>52</w:t>
            </w:r>
            <w:r>
              <w:rPr>
                <w:rFonts w:hint="eastAsia" w:ascii="宋体" w:hAnsi="宋体"/>
                <w:color w:val="000000"/>
                <w:kern w:val="0"/>
                <w:sz w:val="18"/>
                <w:szCs w:val="18"/>
              </w:rPr>
              <w:t>分）</w:t>
            </w:r>
          </w:p>
        </w:tc>
        <w:tc>
          <w:tcPr>
            <w:tcW w:w="85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产出数量（</w:t>
            </w:r>
            <w:r>
              <w:rPr>
                <w:color w:val="000000"/>
                <w:kern w:val="0"/>
                <w:sz w:val="18"/>
                <w:szCs w:val="18"/>
              </w:rPr>
              <w:t>32</w:t>
            </w:r>
            <w:r>
              <w:rPr>
                <w:rFonts w:hint="eastAsia" w:ascii="宋体" w:hAnsi="宋体"/>
                <w:color w:val="000000"/>
                <w:kern w:val="0"/>
                <w:sz w:val="18"/>
                <w:szCs w:val="18"/>
              </w:rPr>
              <w:t>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新认定高新技术企业数</w:t>
            </w:r>
          </w:p>
        </w:tc>
        <w:tc>
          <w:tcPr>
            <w:tcW w:w="62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w:t>
            </w:r>
          </w:p>
        </w:tc>
        <w:tc>
          <w:tcPr>
            <w:tcW w:w="2779"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通过对设定的年度目标任务完成情况进行考核，用以反映和考核年度目标实现程度。（</w:t>
            </w:r>
            <w:r>
              <w:rPr>
                <w:color w:val="000000"/>
                <w:kern w:val="0"/>
                <w:sz w:val="18"/>
                <w:szCs w:val="18"/>
              </w:rPr>
              <w:t>2022</w:t>
            </w:r>
            <w:r>
              <w:rPr>
                <w:rFonts w:hint="eastAsia" w:ascii="宋体" w:hAnsi="宋体"/>
                <w:color w:val="000000"/>
                <w:kern w:val="0"/>
                <w:sz w:val="18"/>
                <w:szCs w:val="18"/>
              </w:rPr>
              <w:t>年任务数：全年通过认定高新技术企业</w:t>
            </w:r>
            <w:r>
              <w:rPr>
                <w:color w:val="000000"/>
                <w:kern w:val="0"/>
                <w:sz w:val="18"/>
                <w:szCs w:val="18"/>
              </w:rPr>
              <w:t>90</w:t>
            </w:r>
            <w:r>
              <w:rPr>
                <w:rFonts w:hint="eastAsia" w:ascii="宋体" w:hAnsi="宋体"/>
                <w:color w:val="000000"/>
                <w:kern w:val="0"/>
                <w:sz w:val="18"/>
                <w:szCs w:val="18"/>
              </w:rPr>
              <w:t>家以上）。</w:t>
            </w:r>
          </w:p>
        </w:tc>
        <w:tc>
          <w:tcPr>
            <w:tcW w:w="466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目标完成率＝实际完成数</w:t>
            </w:r>
            <w:r>
              <w:rPr>
                <w:color w:val="000000"/>
                <w:kern w:val="0"/>
                <w:sz w:val="18"/>
                <w:szCs w:val="18"/>
              </w:rPr>
              <w:t>/</w:t>
            </w:r>
            <w:r>
              <w:rPr>
                <w:rFonts w:hint="eastAsia" w:ascii="宋体" w:hAnsi="宋体"/>
                <w:color w:val="000000"/>
                <w:kern w:val="0"/>
                <w:sz w:val="18"/>
                <w:szCs w:val="18"/>
              </w:rPr>
              <w:t>目标任务数</w:t>
            </w:r>
            <w:r>
              <w:rPr>
                <w:color w:val="000000"/>
                <w:kern w:val="0"/>
                <w:sz w:val="18"/>
                <w:szCs w:val="18"/>
              </w:rPr>
              <w:t>*100</w:t>
            </w:r>
            <w:r>
              <w:rPr>
                <w:rFonts w:hint="eastAsia" w:ascii="宋体" w:hAnsi="宋体"/>
                <w:color w:val="000000"/>
                <w:kern w:val="0"/>
                <w:sz w:val="18"/>
                <w:szCs w:val="18"/>
              </w:rPr>
              <w:t>％</w:t>
            </w:r>
            <w:r>
              <w:rPr>
                <w:color w:val="000000"/>
                <w:kern w:val="0"/>
                <w:sz w:val="18"/>
                <w:szCs w:val="18"/>
              </w:rPr>
              <w:t>*</w:t>
            </w:r>
            <w:r>
              <w:rPr>
                <w:rFonts w:hint="eastAsia" w:ascii="宋体" w:hAnsi="宋体"/>
                <w:color w:val="000000"/>
                <w:kern w:val="0"/>
                <w:sz w:val="18"/>
                <w:szCs w:val="18"/>
              </w:rPr>
              <w:t>分值，低于</w:t>
            </w:r>
            <w:r>
              <w:rPr>
                <w:color w:val="000000"/>
                <w:kern w:val="0"/>
                <w:sz w:val="18"/>
                <w:szCs w:val="18"/>
              </w:rPr>
              <w:t>80%</w:t>
            </w:r>
            <w:r>
              <w:rPr>
                <w:rFonts w:hint="eastAsia" w:ascii="宋体" w:hAnsi="宋体"/>
                <w:color w:val="000000"/>
                <w:kern w:val="0"/>
                <w:sz w:val="18"/>
                <w:szCs w:val="18"/>
              </w:rPr>
              <w:t>不得分。</w:t>
            </w:r>
          </w:p>
        </w:tc>
        <w:tc>
          <w:tcPr>
            <w:tcW w:w="340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2022</w:t>
            </w:r>
            <w:r>
              <w:rPr>
                <w:rFonts w:hint="eastAsia" w:ascii="宋体" w:hAnsi="宋体"/>
                <w:color w:val="000000"/>
                <w:kern w:val="0"/>
                <w:sz w:val="18"/>
                <w:szCs w:val="18"/>
              </w:rPr>
              <w:t>年考核全年通过认定高新技术企业为</w:t>
            </w:r>
            <w:r>
              <w:rPr>
                <w:color w:val="000000"/>
                <w:kern w:val="0"/>
                <w:sz w:val="18"/>
                <w:szCs w:val="18"/>
              </w:rPr>
              <w:t>90</w:t>
            </w:r>
            <w:r>
              <w:rPr>
                <w:rFonts w:hint="eastAsia" w:ascii="宋体" w:hAnsi="宋体"/>
                <w:color w:val="000000"/>
                <w:kern w:val="0"/>
                <w:sz w:val="18"/>
                <w:szCs w:val="18"/>
              </w:rPr>
              <w:t>家以上，</w:t>
            </w:r>
            <w:r>
              <w:rPr>
                <w:color w:val="000000"/>
                <w:kern w:val="0"/>
                <w:sz w:val="18"/>
                <w:szCs w:val="18"/>
              </w:rPr>
              <w:t>2022</w:t>
            </w:r>
            <w:r>
              <w:rPr>
                <w:rFonts w:hint="eastAsia" w:ascii="宋体" w:hAnsi="宋体"/>
                <w:color w:val="000000"/>
                <w:kern w:val="0"/>
                <w:sz w:val="18"/>
                <w:szCs w:val="18"/>
              </w:rPr>
              <w:t>年实际通过认定高新技术企业为</w:t>
            </w:r>
            <w:r>
              <w:rPr>
                <w:color w:val="000000"/>
                <w:kern w:val="0"/>
                <w:sz w:val="18"/>
                <w:szCs w:val="18"/>
              </w:rPr>
              <w:t>225</w:t>
            </w:r>
            <w:r>
              <w:rPr>
                <w:rFonts w:hint="eastAsia" w:ascii="宋体" w:hAnsi="宋体"/>
                <w:color w:val="000000"/>
                <w:kern w:val="0"/>
                <w:sz w:val="18"/>
                <w:szCs w:val="18"/>
              </w:rPr>
              <w:t>家；依据评分标准，得</w:t>
            </w:r>
            <w:r>
              <w:rPr>
                <w:color w:val="000000"/>
                <w:kern w:val="0"/>
                <w:sz w:val="18"/>
                <w:szCs w:val="18"/>
              </w:rPr>
              <w:t>8</w:t>
            </w:r>
            <w:r>
              <w:rPr>
                <w:rFonts w:hint="eastAsia" w:ascii="宋体" w:hAnsi="宋体"/>
                <w:color w:val="000000"/>
                <w:kern w:val="0"/>
                <w:sz w:val="18"/>
                <w:szCs w:val="18"/>
              </w:rPr>
              <w:t>分。</w:t>
            </w:r>
          </w:p>
        </w:tc>
        <w:tc>
          <w:tcPr>
            <w:tcW w:w="604" w:type="dxa"/>
            <w:gridSpan w:val="2"/>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w:t>
            </w:r>
          </w:p>
        </w:tc>
      </w:tr>
      <w:tr>
        <w:tblPrEx>
          <w:tblCellMar>
            <w:top w:w="0" w:type="dxa"/>
            <w:left w:w="108" w:type="dxa"/>
            <w:bottom w:w="0" w:type="dxa"/>
            <w:right w:w="108" w:type="dxa"/>
          </w:tblCellMar>
        </w:tblPrEx>
        <w:trPr>
          <w:trHeight w:val="1215"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12</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企业吸纳</w:t>
            </w:r>
            <w:r>
              <w:rPr>
                <w:color w:val="000000"/>
                <w:kern w:val="0"/>
                <w:sz w:val="18"/>
                <w:szCs w:val="18"/>
              </w:rPr>
              <w:br w:type="page"/>
            </w:r>
            <w:r>
              <w:rPr>
                <w:rFonts w:hint="eastAsia" w:ascii="宋体" w:hAnsi="宋体"/>
                <w:color w:val="000000"/>
                <w:kern w:val="0"/>
                <w:sz w:val="18"/>
                <w:szCs w:val="18"/>
              </w:rPr>
              <w:t>技术合同成交额</w:t>
            </w:r>
          </w:p>
        </w:tc>
        <w:tc>
          <w:tcPr>
            <w:tcW w:w="62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w:t>
            </w:r>
          </w:p>
        </w:tc>
        <w:tc>
          <w:tcPr>
            <w:tcW w:w="2779"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通过对设定的年度目标任务完成情况进行考核，用以反映和考核年度目标实现程度。（</w:t>
            </w:r>
            <w:r>
              <w:rPr>
                <w:color w:val="000000"/>
                <w:kern w:val="0"/>
                <w:sz w:val="18"/>
                <w:szCs w:val="18"/>
              </w:rPr>
              <w:t>2022</w:t>
            </w:r>
            <w:r>
              <w:rPr>
                <w:rFonts w:hint="eastAsia" w:ascii="宋体" w:hAnsi="宋体"/>
                <w:color w:val="000000"/>
                <w:kern w:val="0"/>
                <w:sz w:val="18"/>
                <w:szCs w:val="18"/>
              </w:rPr>
              <w:t>年任务数</w:t>
            </w:r>
            <w:r>
              <w:rPr>
                <w:color w:val="000000"/>
                <w:kern w:val="0"/>
                <w:sz w:val="18"/>
                <w:szCs w:val="18"/>
              </w:rPr>
              <w:t>:</w:t>
            </w:r>
            <w:r>
              <w:rPr>
                <w:rFonts w:hint="eastAsia" w:ascii="宋体" w:hAnsi="宋体"/>
                <w:color w:val="000000"/>
                <w:kern w:val="0"/>
                <w:sz w:val="18"/>
                <w:szCs w:val="18"/>
              </w:rPr>
              <w:t>企业吸纳技术合同成交额增长</w:t>
            </w:r>
            <w:r>
              <w:rPr>
                <w:color w:val="000000"/>
                <w:kern w:val="0"/>
                <w:sz w:val="18"/>
                <w:szCs w:val="18"/>
              </w:rPr>
              <w:t>50%</w:t>
            </w:r>
            <w:r>
              <w:rPr>
                <w:rFonts w:hint="eastAsia" w:ascii="宋体" w:hAnsi="宋体"/>
                <w:color w:val="000000"/>
                <w:kern w:val="0"/>
                <w:sz w:val="18"/>
                <w:szCs w:val="18"/>
              </w:rPr>
              <w:t>以上</w:t>
            </w:r>
            <w:r>
              <w:rPr>
                <w:color w:val="000000"/>
                <w:kern w:val="0"/>
                <w:sz w:val="18"/>
                <w:szCs w:val="18"/>
              </w:rPr>
              <w:t xml:space="preserve">) </w:t>
            </w:r>
            <w:r>
              <w:rPr>
                <w:rFonts w:hint="eastAsia" w:ascii="宋体" w:hAnsi="宋体"/>
                <w:color w:val="000000"/>
                <w:kern w:val="0"/>
                <w:sz w:val="18"/>
                <w:szCs w:val="18"/>
              </w:rPr>
              <w:t>。</w:t>
            </w:r>
          </w:p>
        </w:tc>
        <w:tc>
          <w:tcPr>
            <w:tcW w:w="466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目标完成率＝实际完成数</w:t>
            </w:r>
            <w:r>
              <w:rPr>
                <w:color w:val="000000"/>
                <w:kern w:val="0"/>
                <w:sz w:val="18"/>
                <w:szCs w:val="18"/>
              </w:rPr>
              <w:t>/</w:t>
            </w:r>
            <w:r>
              <w:rPr>
                <w:rFonts w:hint="eastAsia" w:ascii="宋体" w:hAnsi="宋体"/>
                <w:color w:val="000000"/>
                <w:kern w:val="0"/>
                <w:sz w:val="18"/>
                <w:szCs w:val="18"/>
              </w:rPr>
              <w:t>目标任务数</w:t>
            </w:r>
            <w:r>
              <w:rPr>
                <w:color w:val="000000"/>
                <w:kern w:val="0"/>
                <w:sz w:val="18"/>
                <w:szCs w:val="18"/>
              </w:rPr>
              <w:t>*100</w:t>
            </w:r>
            <w:r>
              <w:rPr>
                <w:rFonts w:hint="eastAsia" w:ascii="宋体" w:hAnsi="宋体"/>
                <w:color w:val="000000"/>
                <w:kern w:val="0"/>
                <w:sz w:val="18"/>
                <w:szCs w:val="18"/>
              </w:rPr>
              <w:t>％</w:t>
            </w:r>
            <w:r>
              <w:rPr>
                <w:color w:val="000000"/>
                <w:kern w:val="0"/>
                <w:sz w:val="18"/>
                <w:szCs w:val="18"/>
              </w:rPr>
              <w:t>*</w:t>
            </w:r>
            <w:r>
              <w:rPr>
                <w:rFonts w:hint="eastAsia" w:ascii="宋体" w:hAnsi="宋体"/>
                <w:color w:val="000000"/>
                <w:kern w:val="0"/>
                <w:sz w:val="18"/>
                <w:szCs w:val="18"/>
              </w:rPr>
              <w:t>分值，低于</w:t>
            </w:r>
            <w:r>
              <w:rPr>
                <w:color w:val="000000"/>
                <w:kern w:val="0"/>
                <w:sz w:val="18"/>
                <w:szCs w:val="18"/>
              </w:rPr>
              <w:t>80%</w:t>
            </w:r>
            <w:r>
              <w:rPr>
                <w:rFonts w:hint="eastAsia" w:ascii="宋体" w:hAnsi="宋体"/>
                <w:color w:val="000000"/>
                <w:kern w:val="0"/>
                <w:sz w:val="18"/>
                <w:szCs w:val="18"/>
              </w:rPr>
              <w:t>不得分。</w:t>
            </w:r>
          </w:p>
        </w:tc>
        <w:tc>
          <w:tcPr>
            <w:tcW w:w="340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2022</w:t>
            </w:r>
            <w:r>
              <w:rPr>
                <w:rFonts w:hint="eastAsia" w:ascii="宋体" w:hAnsi="宋体"/>
                <w:color w:val="000000"/>
                <w:kern w:val="0"/>
                <w:sz w:val="18"/>
                <w:szCs w:val="18"/>
              </w:rPr>
              <w:t>年考核企业吸纳技术合同成交额增长</w:t>
            </w:r>
            <w:r>
              <w:rPr>
                <w:color w:val="000000"/>
                <w:kern w:val="0"/>
                <w:sz w:val="18"/>
                <w:szCs w:val="18"/>
              </w:rPr>
              <w:t>50%</w:t>
            </w:r>
            <w:r>
              <w:rPr>
                <w:rFonts w:hint="eastAsia" w:ascii="宋体" w:hAnsi="宋体"/>
                <w:color w:val="000000"/>
                <w:kern w:val="0"/>
                <w:sz w:val="18"/>
                <w:szCs w:val="18"/>
              </w:rPr>
              <w:t>以上，依据安徽省技术合同交易额统计快报</w:t>
            </w:r>
            <w:r>
              <w:rPr>
                <w:color w:val="000000"/>
                <w:kern w:val="0"/>
                <w:sz w:val="18"/>
                <w:szCs w:val="18"/>
              </w:rPr>
              <w:t>2022</w:t>
            </w:r>
            <w:r>
              <w:rPr>
                <w:rFonts w:hint="eastAsia" w:ascii="宋体" w:hAnsi="宋体"/>
                <w:color w:val="000000"/>
                <w:kern w:val="0"/>
                <w:sz w:val="18"/>
                <w:szCs w:val="18"/>
              </w:rPr>
              <w:t>年实际企业吸纳技术合同成交额增长为</w:t>
            </w:r>
            <w:r>
              <w:rPr>
                <w:color w:val="000000"/>
                <w:kern w:val="0"/>
                <w:sz w:val="18"/>
                <w:szCs w:val="18"/>
              </w:rPr>
              <w:t>64%</w:t>
            </w:r>
            <w:r>
              <w:rPr>
                <w:rFonts w:hint="eastAsia" w:ascii="宋体" w:hAnsi="宋体"/>
                <w:color w:val="000000"/>
                <w:kern w:val="0"/>
                <w:sz w:val="18"/>
                <w:szCs w:val="18"/>
              </w:rPr>
              <w:t>左右；依据评分标准，得</w:t>
            </w:r>
            <w:r>
              <w:rPr>
                <w:color w:val="000000"/>
                <w:kern w:val="0"/>
                <w:sz w:val="18"/>
                <w:szCs w:val="18"/>
              </w:rPr>
              <w:t>8</w:t>
            </w:r>
            <w:r>
              <w:rPr>
                <w:rFonts w:hint="eastAsia" w:ascii="宋体" w:hAnsi="宋体"/>
                <w:color w:val="000000"/>
                <w:kern w:val="0"/>
                <w:sz w:val="18"/>
                <w:szCs w:val="18"/>
              </w:rPr>
              <w:t>分。</w:t>
            </w:r>
          </w:p>
        </w:tc>
        <w:tc>
          <w:tcPr>
            <w:tcW w:w="604" w:type="dxa"/>
            <w:gridSpan w:val="2"/>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w:t>
            </w:r>
          </w:p>
        </w:tc>
      </w:tr>
      <w:tr>
        <w:tblPrEx>
          <w:tblCellMar>
            <w:top w:w="0" w:type="dxa"/>
            <w:left w:w="108" w:type="dxa"/>
            <w:bottom w:w="0" w:type="dxa"/>
            <w:right w:w="108" w:type="dxa"/>
          </w:tblCellMar>
        </w:tblPrEx>
        <w:trPr>
          <w:trHeight w:val="1215"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13</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高新技术产业增加值增速</w:t>
            </w:r>
          </w:p>
        </w:tc>
        <w:tc>
          <w:tcPr>
            <w:tcW w:w="62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w:t>
            </w:r>
          </w:p>
        </w:tc>
        <w:tc>
          <w:tcPr>
            <w:tcW w:w="2779"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通过对设定的年度目标任务完成情况进行考核，用以反映和考核年度目标实现程度。（</w:t>
            </w:r>
            <w:r>
              <w:rPr>
                <w:color w:val="000000"/>
                <w:kern w:val="0"/>
                <w:sz w:val="18"/>
                <w:szCs w:val="18"/>
              </w:rPr>
              <w:t>2022</w:t>
            </w:r>
            <w:r>
              <w:rPr>
                <w:rFonts w:hint="eastAsia" w:ascii="宋体" w:hAnsi="宋体"/>
                <w:color w:val="000000"/>
                <w:kern w:val="0"/>
                <w:sz w:val="18"/>
                <w:szCs w:val="18"/>
              </w:rPr>
              <w:t>年任务数</w:t>
            </w:r>
            <w:r>
              <w:rPr>
                <w:color w:val="000000"/>
                <w:kern w:val="0"/>
                <w:sz w:val="18"/>
                <w:szCs w:val="18"/>
              </w:rPr>
              <w:t>:</w:t>
            </w:r>
            <w:r>
              <w:rPr>
                <w:rFonts w:hint="eastAsia" w:ascii="宋体" w:hAnsi="宋体"/>
                <w:color w:val="000000"/>
                <w:kern w:val="0"/>
                <w:sz w:val="18"/>
                <w:szCs w:val="18"/>
              </w:rPr>
              <w:t>高新技术产业增加值增速</w:t>
            </w:r>
            <w:r>
              <w:rPr>
                <w:color w:val="000000"/>
                <w:kern w:val="0"/>
                <w:sz w:val="18"/>
                <w:szCs w:val="18"/>
              </w:rPr>
              <w:t>12%</w:t>
            </w:r>
            <w:r>
              <w:rPr>
                <w:rFonts w:hint="eastAsia" w:ascii="宋体" w:hAnsi="宋体"/>
                <w:color w:val="000000"/>
                <w:kern w:val="0"/>
                <w:sz w:val="18"/>
                <w:szCs w:val="18"/>
              </w:rPr>
              <w:t>以上）。</w:t>
            </w:r>
          </w:p>
        </w:tc>
        <w:tc>
          <w:tcPr>
            <w:tcW w:w="466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目标完成率＝实际完成数</w:t>
            </w:r>
            <w:r>
              <w:rPr>
                <w:color w:val="000000"/>
                <w:kern w:val="0"/>
                <w:sz w:val="18"/>
                <w:szCs w:val="18"/>
              </w:rPr>
              <w:t>/</w:t>
            </w:r>
            <w:r>
              <w:rPr>
                <w:rFonts w:hint="eastAsia" w:ascii="宋体" w:hAnsi="宋体"/>
                <w:color w:val="000000"/>
                <w:kern w:val="0"/>
                <w:sz w:val="18"/>
                <w:szCs w:val="18"/>
              </w:rPr>
              <w:t>目标任务数</w:t>
            </w:r>
            <w:r>
              <w:rPr>
                <w:color w:val="000000"/>
                <w:kern w:val="0"/>
                <w:sz w:val="18"/>
                <w:szCs w:val="18"/>
              </w:rPr>
              <w:t>*100</w:t>
            </w:r>
            <w:r>
              <w:rPr>
                <w:rFonts w:hint="eastAsia" w:ascii="宋体" w:hAnsi="宋体"/>
                <w:color w:val="000000"/>
                <w:kern w:val="0"/>
                <w:sz w:val="18"/>
                <w:szCs w:val="18"/>
              </w:rPr>
              <w:t>％</w:t>
            </w:r>
            <w:r>
              <w:rPr>
                <w:color w:val="000000"/>
                <w:kern w:val="0"/>
                <w:sz w:val="18"/>
                <w:szCs w:val="18"/>
              </w:rPr>
              <w:t>*</w:t>
            </w:r>
            <w:r>
              <w:rPr>
                <w:rFonts w:hint="eastAsia" w:ascii="宋体" w:hAnsi="宋体"/>
                <w:color w:val="000000"/>
                <w:kern w:val="0"/>
                <w:sz w:val="18"/>
                <w:szCs w:val="18"/>
              </w:rPr>
              <w:t>分值，低于</w:t>
            </w:r>
            <w:r>
              <w:rPr>
                <w:color w:val="000000"/>
                <w:kern w:val="0"/>
                <w:sz w:val="18"/>
                <w:szCs w:val="18"/>
              </w:rPr>
              <w:t>80%</w:t>
            </w:r>
            <w:r>
              <w:rPr>
                <w:rFonts w:hint="eastAsia" w:ascii="宋体" w:hAnsi="宋体"/>
                <w:color w:val="000000"/>
                <w:kern w:val="0"/>
                <w:sz w:val="18"/>
                <w:szCs w:val="18"/>
              </w:rPr>
              <w:t>不得分。</w:t>
            </w:r>
          </w:p>
        </w:tc>
        <w:tc>
          <w:tcPr>
            <w:tcW w:w="340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2022</w:t>
            </w:r>
            <w:r>
              <w:rPr>
                <w:rFonts w:hint="eastAsia" w:ascii="宋体" w:hAnsi="宋体"/>
                <w:color w:val="000000"/>
                <w:kern w:val="0"/>
                <w:sz w:val="18"/>
                <w:szCs w:val="18"/>
              </w:rPr>
              <w:t>年考核高新技术产业增加值增速达</w:t>
            </w:r>
            <w:r>
              <w:rPr>
                <w:color w:val="000000"/>
                <w:kern w:val="0"/>
                <w:sz w:val="18"/>
                <w:szCs w:val="18"/>
              </w:rPr>
              <w:t>12%</w:t>
            </w:r>
            <w:r>
              <w:rPr>
                <w:rFonts w:hint="eastAsia" w:ascii="宋体" w:hAnsi="宋体"/>
                <w:color w:val="000000"/>
                <w:kern w:val="0"/>
                <w:sz w:val="18"/>
                <w:szCs w:val="18"/>
              </w:rPr>
              <w:t>以上，</w:t>
            </w:r>
            <w:r>
              <w:rPr>
                <w:color w:val="000000"/>
                <w:kern w:val="0"/>
                <w:sz w:val="18"/>
                <w:szCs w:val="18"/>
              </w:rPr>
              <w:t>2022</w:t>
            </w:r>
            <w:r>
              <w:rPr>
                <w:rFonts w:hint="eastAsia" w:ascii="宋体" w:hAnsi="宋体"/>
                <w:color w:val="000000"/>
                <w:kern w:val="0"/>
                <w:sz w:val="18"/>
                <w:szCs w:val="18"/>
              </w:rPr>
              <w:t>年实际高新技术产业增加值增速为</w:t>
            </w:r>
            <w:r>
              <w:rPr>
                <w:color w:val="000000"/>
                <w:kern w:val="0"/>
                <w:sz w:val="18"/>
                <w:szCs w:val="18"/>
              </w:rPr>
              <w:t>14.30%</w:t>
            </w:r>
            <w:r>
              <w:rPr>
                <w:rFonts w:hint="eastAsia" w:ascii="宋体" w:hAnsi="宋体"/>
                <w:color w:val="000000"/>
                <w:kern w:val="0"/>
                <w:sz w:val="18"/>
                <w:szCs w:val="18"/>
              </w:rPr>
              <w:t>；依据评分标准，得</w:t>
            </w:r>
            <w:r>
              <w:rPr>
                <w:color w:val="000000"/>
                <w:kern w:val="0"/>
                <w:sz w:val="18"/>
                <w:szCs w:val="18"/>
              </w:rPr>
              <w:t>8</w:t>
            </w:r>
            <w:r>
              <w:rPr>
                <w:rFonts w:hint="eastAsia" w:ascii="宋体" w:hAnsi="宋体"/>
                <w:color w:val="000000"/>
                <w:kern w:val="0"/>
                <w:sz w:val="18"/>
                <w:szCs w:val="18"/>
              </w:rPr>
              <w:t>分。</w:t>
            </w:r>
          </w:p>
        </w:tc>
        <w:tc>
          <w:tcPr>
            <w:tcW w:w="604" w:type="dxa"/>
            <w:gridSpan w:val="2"/>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w:t>
            </w:r>
          </w:p>
        </w:tc>
      </w:tr>
      <w:tr>
        <w:tblPrEx>
          <w:tblCellMar>
            <w:top w:w="0" w:type="dxa"/>
            <w:left w:w="108" w:type="dxa"/>
            <w:bottom w:w="0" w:type="dxa"/>
            <w:right w:w="108" w:type="dxa"/>
          </w:tblCellMar>
        </w:tblPrEx>
        <w:trPr>
          <w:trHeight w:val="1215"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14</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研发投入增长</w:t>
            </w:r>
          </w:p>
        </w:tc>
        <w:tc>
          <w:tcPr>
            <w:tcW w:w="62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w:t>
            </w:r>
          </w:p>
        </w:tc>
        <w:tc>
          <w:tcPr>
            <w:tcW w:w="2779"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通过对设定的年度目标任务完成情况进行考核，用以反映和考核年度目标实现程度。（</w:t>
            </w:r>
            <w:r>
              <w:rPr>
                <w:color w:val="000000"/>
                <w:kern w:val="0"/>
                <w:sz w:val="18"/>
                <w:szCs w:val="18"/>
              </w:rPr>
              <w:t>2022</w:t>
            </w:r>
            <w:r>
              <w:rPr>
                <w:rFonts w:hint="eastAsia" w:ascii="宋体" w:hAnsi="宋体"/>
                <w:color w:val="000000"/>
                <w:kern w:val="0"/>
                <w:sz w:val="18"/>
                <w:szCs w:val="18"/>
              </w:rPr>
              <w:t>年任务数</w:t>
            </w:r>
            <w:r>
              <w:rPr>
                <w:color w:val="000000"/>
                <w:kern w:val="0"/>
                <w:sz w:val="18"/>
                <w:szCs w:val="18"/>
              </w:rPr>
              <w:t>:</w:t>
            </w:r>
            <w:r>
              <w:rPr>
                <w:rFonts w:hint="eastAsia" w:ascii="宋体" w:hAnsi="宋体"/>
                <w:color w:val="000000"/>
                <w:kern w:val="0"/>
                <w:sz w:val="18"/>
                <w:szCs w:val="18"/>
              </w:rPr>
              <w:t>研发投入增长</w:t>
            </w:r>
            <w:r>
              <w:rPr>
                <w:color w:val="000000"/>
                <w:kern w:val="0"/>
                <w:sz w:val="18"/>
                <w:szCs w:val="18"/>
              </w:rPr>
              <w:t>15%</w:t>
            </w:r>
            <w:r>
              <w:rPr>
                <w:rFonts w:hint="eastAsia" w:ascii="宋体" w:hAnsi="宋体"/>
                <w:color w:val="000000"/>
                <w:kern w:val="0"/>
                <w:sz w:val="18"/>
                <w:szCs w:val="18"/>
              </w:rPr>
              <w:t>左右）。</w:t>
            </w:r>
          </w:p>
        </w:tc>
        <w:tc>
          <w:tcPr>
            <w:tcW w:w="466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目标完成率＝实际完成数</w:t>
            </w:r>
            <w:r>
              <w:rPr>
                <w:color w:val="000000"/>
                <w:kern w:val="0"/>
                <w:sz w:val="18"/>
                <w:szCs w:val="18"/>
              </w:rPr>
              <w:t>/</w:t>
            </w:r>
            <w:r>
              <w:rPr>
                <w:rFonts w:hint="eastAsia" w:ascii="宋体" w:hAnsi="宋体"/>
                <w:color w:val="000000"/>
                <w:kern w:val="0"/>
                <w:sz w:val="18"/>
                <w:szCs w:val="18"/>
              </w:rPr>
              <w:t>目标任务数</w:t>
            </w:r>
            <w:r>
              <w:rPr>
                <w:color w:val="000000"/>
                <w:kern w:val="0"/>
                <w:sz w:val="18"/>
                <w:szCs w:val="18"/>
              </w:rPr>
              <w:t>*100</w:t>
            </w:r>
            <w:r>
              <w:rPr>
                <w:rFonts w:hint="eastAsia" w:ascii="宋体" w:hAnsi="宋体"/>
                <w:color w:val="000000"/>
                <w:kern w:val="0"/>
                <w:sz w:val="18"/>
                <w:szCs w:val="18"/>
              </w:rPr>
              <w:t>％</w:t>
            </w:r>
            <w:r>
              <w:rPr>
                <w:color w:val="000000"/>
                <w:kern w:val="0"/>
                <w:sz w:val="18"/>
                <w:szCs w:val="18"/>
              </w:rPr>
              <w:t>*</w:t>
            </w:r>
            <w:r>
              <w:rPr>
                <w:rFonts w:hint="eastAsia" w:ascii="宋体" w:hAnsi="宋体"/>
                <w:color w:val="000000"/>
                <w:kern w:val="0"/>
                <w:sz w:val="18"/>
                <w:szCs w:val="18"/>
              </w:rPr>
              <w:t>分值，低于</w:t>
            </w:r>
            <w:r>
              <w:rPr>
                <w:color w:val="000000"/>
                <w:kern w:val="0"/>
                <w:sz w:val="18"/>
                <w:szCs w:val="18"/>
              </w:rPr>
              <w:t>80%</w:t>
            </w:r>
            <w:r>
              <w:rPr>
                <w:rFonts w:hint="eastAsia" w:ascii="宋体" w:hAnsi="宋体"/>
                <w:color w:val="000000"/>
                <w:kern w:val="0"/>
                <w:sz w:val="18"/>
                <w:szCs w:val="18"/>
              </w:rPr>
              <w:t>不得分。</w:t>
            </w:r>
            <w:r>
              <w:rPr>
                <w:rFonts w:hint="eastAsia" w:ascii="宋体" w:hAnsi="宋体"/>
                <w:color w:val="000000"/>
                <w:kern w:val="0"/>
                <w:sz w:val="18"/>
                <w:szCs w:val="18"/>
              </w:rPr>
              <w:br w:type="textWrapping"/>
            </w:r>
            <w:r>
              <w:rPr>
                <w:rFonts w:hint="eastAsia" w:ascii="宋体" w:hAnsi="宋体"/>
                <w:color w:val="000000"/>
                <w:kern w:val="0"/>
                <w:sz w:val="18"/>
                <w:szCs w:val="18"/>
              </w:rPr>
              <w:t>备注：</w:t>
            </w:r>
            <w:r>
              <w:rPr>
                <w:color w:val="000000"/>
                <w:kern w:val="0"/>
                <w:sz w:val="18"/>
                <w:szCs w:val="18"/>
              </w:rPr>
              <w:t>2022</w:t>
            </w:r>
            <w:r>
              <w:rPr>
                <w:rFonts w:hint="eastAsia" w:ascii="宋体" w:hAnsi="宋体"/>
                <w:color w:val="000000"/>
                <w:kern w:val="0"/>
                <w:sz w:val="18"/>
                <w:szCs w:val="18"/>
              </w:rPr>
              <w:t>年研发投入统计局数据暂未公布，依据六安市科技局暂估数进行评分，完成率</w:t>
            </w:r>
            <w:r>
              <w:rPr>
                <w:color w:val="000000"/>
                <w:kern w:val="0"/>
                <w:sz w:val="18"/>
                <w:szCs w:val="18"/>
              </w:rPr>
              <w:t>80%</w:t>
            </w:r>
            <w:r>
              <w:rPr>
                <w:rFonts w:hint="eastAsia" w:ascii="宋体" w:hAnsi="宋体"/>
                <w:color w:val="000000"/>
                <w:kern w:val="0"/>
                <w:sz w:val="18"/>
                <w:szCs w:val="18"/>
              </w:rPr>
              <w:t>以上，得满分。</w:t>
            </w:r>
          </w:p>
        </w:tc>
        <w:tc>
          <w:tcPr>
            <w:tcW w:w="340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我市</w:t>
            </w:r>
            <w:r>
              <w:rPr>
                <w:color w:val="000000"/>
                <w:kern w:val="0"/>
                <w:sz w:val="18"/>
                <w:szCs w:val="18"/>
              </w:rPr>
              <w:t>2021</w:t>
            </w:r>
            <w:r>
              <w:rPr>
                <w:rFonts w:hint="eastAsia" w:ascii="宋体" w:hAnsi="宋体"/>
                <w:color w:val="000000"/>
                <w:kern w:val="0"/>
                <w:sz w:val="18"/>
                <w:szCs w:val="18"/>
              </w:rPr>
              <w:t>年度全社会研发经费投入为</w:t>
            </w:r>
            <w:r>
              <w:rPr>
                <w:color w:val="000000"/>
                <w:kern w:val="0"/>
                <w:sz w:val="18"/>
                <w:szCs w:val="18"/>
              </w:rPr>
              <w:t>23.98</w:t>
            </w:r>
            <w:r>
              <w:rPr>
                <w:rFonts w:hint="eastAsia" w:ascii="宋体" w:hAnsi="宋体"/>
                <w:color w:val="000000"/>
                <w:kern w:val="0"/>
                <w:sz w:val="18"/>
                <w:szCs w:val="18"/>
              </w:rPr>
              <w:t>亿元，</w:t>
            </w:r>
            <w:r>
              <w:rPr>
                <w:color w:val="000000"/>
                <w:kern w:val="0"/>
                <w:sz w:val="18"/>
                <w:szCs w:val="18"/>
              </w:rPr>
              <w:t>2022</w:t>
            </w:r>
            <w:r>
              <w:rPr>
                <w:rFonts w:hint="eastAsia" w:ascii="宋体" w:hAnsi="宋体"/>
                <w:color w:val="000000"/>
                <w:kern w:val="0"/>
                <w:sz w:val="18"/>
                <w:szCs w:val="18"/>
              </w:rPr>
              <w:t>年度约</w:t>
            </w:r>
            <w:r>
              <w:rPr>
                <w:color w:val="000000"/>
                <w:kern w:val="0"/>
                <w:sz w:val="18"/>
                <w:szCs w:val="18"/>
              </w:rPr>
              <w:t>27</w:t>
            </w:r>
            <w:r>
              <w:rPr>
                <w:rFonts w:hint="eastAsia" w:ascii="宋体" w:hAnsi="宋体"/>
                <w:color w:val="000000"/>
                <w:kern w:val="0"/>
                <w:sz w:val="18"/>
                <w:szCs w:val="18"/>
              </w:rPr>
              <w:t>亿元左右，研发投入增长率</w:t>
            </w:r>
            <w:r>
              <w:rPr>
                <w:color w:val="000000"/>
                <w:kern w:val="0"/>
                <w:sz w:val="18"/>
                <w:szCs w:val="18"/>
              </w:rPr>
              <w:t>12.59%</w:t>
            </w:r>
            <w:r>
              <w:rPr>
                <w:rFonts w:hint="eastAsia" w:ascii="宋体" w:hAnsi="宋体"/>
                <w:color w:val="000000"/>
                <w:kern w:val="0"/>
                <w:sz w:val="18"/>
                <w:szCs w:val="18"/>
              </w:rPr>
              <w:t>，任务完成率</w:t>
            </w:r>
            <w:r>
              <w:rPr>
                <w:color w:val="000000"/>
                <w:kern w:val="0"/>
                <w:sz w:val="18"/>
                <w:szCs w:val="18"/>
              </w:rPr>
              <w:t>83.93%</w:t>
            </w:r>
            <w:r>
              <w:rPr>
                <w:rFonts w:hint="eastAsia" w:ascii="宋体" w:hAnsi="宋体"/>
                <w:color w:val="000000"/>
                <w:kern w:val="0"/>
                <w:sz w:val="18"/>
                <w:szCs w:val="18"/>
              </w:rPr>
              <w:t>；依据评分标准，得</w:t>
            </w:r>
            <w:r>
              <w:rPr>
                <w:color w:val="000000"/>
                <w:kern w:val="0"/>
                <w:sz w:val="18"/>
                <w:szCs w:val="18"/>
              </w:rPr>
              <w:t>8</w:t>
            </w:r>
            <w:r>
              <w:rPr>
                <w:rFonts w:hint="eastAsia" w:ascii="宋体" w:hAnsi="宋体"/>
                <w:color w:val="000000"/>
                <w:kern w:val="0"/>
                <w:sz w:val="18"/>
                <w:szCs w:val="18"/>
              </w:rPr>
              <w:t>分。</w:t>
            </w:r>
          </w:p>
        </w:tc>
        <w:tc>
          <w:tcPr>
            <w:tcW w:w="604" w:type="dxa"/>
            <w:gridSpan w:val="2"/>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w:t>
            </w:r>
          </w:p>
        </w:tc>
      </w:tr>
      <w:tr>
        <w:tblPrEx>
          <w:tblCellMar>
            <w:top w:w="0" w:type="dxa"/>
            <w:left w:w="108" w:type="dxa"/>
            <w:bottom w:w="0" w:type="dxa"/>
            <w:right w:w="108" w:type="dxa"/>
          </w:tblCellMar>
        </w:tblPrEx>
        <w:trPr>
          <w:trHeight w:val="975"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15</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产出质量（</w:t>
            </w:r>
            <w:r>
              <w:rPr>
                <w:color w:val="000000"/>
                <w:kern w:val="0"/>
                <w:sz w:val="18"/>
                <w:szCs w:val="18"/>
              </w:rPr>
              <w:t>10</w:t>
            </w:r>
            <w:r>
              <w:rPr>
                <w:rFonts w:hint="eastAsia" w:ascii="宋体" w:hAnsi="宋体"/>
                <w:color w:val="000000"/>
                <w:kern w:val="0"/>
                <w:sz w:val="18"/>
                <w:szCs w:val="18"/>
              </w:rPr>
              <w:t>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质量达标率</w:t>
            </w:r>
          </w:p>
        </w:tc>
        <w:tc>
          <w:tcPr>
            <w:tcW w:w="62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10</w:t>
            </w:r>
          </w:p>
        </w:tc>
        <w:tc>
          <w:tcPr>
            <w:tcW w:w="2779"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ascii="宋体" w:hAnsi="宋体"/>
                <w:kern w:val="0"/>
                <w:sz w:val="18"/>
                <w:szCs w:val="18"/>
              </w:rPr>
              <w:t>通过查看享受奖补的企业申报材料等，判断项目申报是否符合申报条件，项目兑现是否符合相关标准。</w:t>
            </w:r>
          </w:p>
        </w:tc>
        <w:tc>
          <w:tcPr>
            <w:tcW w:w="466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评价要点：</w:t>
            </w:r>
          </w:p>
          <w:p>
            <w:pPr>
              <w:widowControl/>
              <w:jc w:val="left"/>
              <w:rPr>
                <w:kern w:val="0"/>
                <w:sz w:val="18"/>
                <w:szCs w:val="18"/>
              </w:rPr>
            </w:pPr>
            <w:r>
              <w:rPr>
                <w:kern w:val="0"/>
                <w:sz w:val="18"/>
                <w:szCs w:val="18"/>
              </w:rPr>
              <w:br w:type="page"/>
            </w:r>
            <w:r>
              <w:rPr>
                <w:kern w:val="0"/>
                <w:sz w:val="18"/>
                <w:szCs w:val="18"/>
              </w:rPr>
              <w:t>1.奖补资金申报符合项目申报条件，申报资料齐全，审核审批手续合规，得10分；项目兑现不符合相关标准的，不得分。</w:t>
            </w:r>
          </w:p>
        </w:tc>
        <w:tc>
          <w:tcPr>
            <w:tcW w:w="340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ascii="宋体" w:hAnsi="宋体"/>
                <w:kern w:val="0"/>
                <w:sz w:val="18"/>
                <w:szCs w:val="18"/>
              </w:rPr>
              <w:t>通过查看企业申报材料，项目申报资料齐全，审核审批手续符合要求，项目兑现符合相关标准。依据评分标准，得</w:t>
            </w:r>
            <w:r>
              <w:rPr>
                <w:kern w:val="0"/>
                <w:sz w:val="18"/>
                <w:szCs w:val="18"/>
              </w:rPr>
              <w:t>10</w:t>
            </w:r>
            <w:r>
              <w:rPr>
                <w:rFonts w:hint="eastAsia" w:ascii="宋体" w:hAnsi="宋体"/>
                <w:kern w:val="0"/>
                <w:sz w:val="18"/>
                <w:szCs w:val="18"/>
              </w:rPr>
              <w:t>分。</w:t>
            </w:r>
          </w:p>
        </w:tc>
        <w:tc>
          <w:tcPr>
            <w:tcW w:w="604"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10</w:t>
            </w:r>
          </w:p>
        </w:tc>
      </w:tr>
      <w:tr>
        <w:tblPrEx>
          <w:tblCellMar>
            <w:top w:w="0" w:type="dxa"/>
            <w:left w:w="108" w:type="dxa"/>
            <w:bottom w:w="0" w:type="dxa"/>
            <w:right w:w="108" w:type="dxa"/>
          </w:tblCellMar>
        </w:tblPrEx>
        <w:trPr>
          <w:trHeight w:val="1755"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16</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产出时效</w:t>
            </w:r>
            <w:r>
              <w:rPr>
                <w:color w:val="000000"/>
                <w:kern w:val="0"/>
                <w:sz w:val="18"/>
                <w:szCs w:val="18"/>
              </w:rPr>
              <w:br w:type="textWrapping"/>
            </w:r>
            <w:r>
              <w:rPr>
                <w:rFonts w:hint="eastAsia" w:ascii="宋体" w:hAnsi="宋体"/>
                <w:color w:val="000000"/>
                <w:kern w:val="0"/>
                <w:sz w:val="18"/>
                <w:szCs w:val="18"/>
              </w:rPr>
              <w:t>（</w:t>
            </w:r>
            <w:r>
              <w:rPr>
                <w:color w:val="000000"/>
                <w:kern w:val="0"/>
                <w:sz w:val="18"/>
                <w:szCs w:val="18"/>
              </w:rPr>
              <w:t>8</w:t>
            </w:r>
            <w:r>
              <w:rPr>
                <w:rFonts w:hint="eastAsia" w:ascii="宋体" w:hAnsi="宋体"/>
                <w:color w:val="000000"/>
                <w:kern w:val="0"/>
                <w:sz w:val="18"/>
                <w:szCs w:val="18"/>
              </w:rPr>
              <w:t>分）</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ascii="宋体" w:hAnsi="宋体"/>
                <w:color w:val="000000"/>
                <w:kern w:val="0"/>
                <w:sz w:val="18"/>
                <w:szCs w:val="18"/>
              </w:rPr>
              <w:t>完成及时性</w:t>
            </w:r>
          </w:p>
        </w:tc>
        <w:tc>
          <w:tcPr>
            <w:tcW w:w="62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w:t>
            </w:r>
          </w:p>
        </w:tc>
        <w:tc>
          <w:tcPr>
            <w:tcW w:w="2779"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通过查看资金拨付资料，检查项目主管部门是否按相关文件要求，按照规定时点兑现专项经费，用以考核项目兑现时效实现程度。</w:t>
            </w:r>
          </w:p>
        </w:tc>
        <w:tc>
          <w:tcPr>
            <w:tcW w:w="466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评价要点：</w:t>
            </w:r>
            <w:r>
              <w:rPr>
                <w:color w:val="000000"/>
                <w:kern w:val="0"/>
                <w:sz w:val="18"/>
                <w:szCs w:val="18"/>
              </w:rPr>
              <w:br w:type="textWrapping"/>
            </w:r>
            <w:r>
              <w:rPr>
                <w:color w:val="000000"/>
                <w:kern w:val="0"/>
                <w:sz w:val="18"/>
                <w:szCs w:val="18"/>
              </w:rPr>
              <w:t>1.</w:t>
            </w:r>
            <w:r>
              <w:rPr>
                <w:rFonts w:hint="eastAsia" w:ascii="宋体" w:hAnsi="宋体"/>
                <w:color w:val="000000"/>
                <w:kern w:val="0"/>
                <w:sz w:val="18"/>
                <w:szCs w:val="18"/>
              </w:rPr>
              <w:t>项目主管部门按相关文件要求，按照规定时点及时兑现专项资金；对抽查县区奖补资金实际拨付至企业时间进行考核，每延迟拨付资金，扣</w:t>
            </w:r>
            <w:r>
              <w:rPr>
                <w:color w:val="000000"/>
                <w:kern w:val="0"/>
                <w:sz w:val="18"/>
                <w:szCs w:val="18"/>
              </w:rPr>
              <w:t>0.5</w:t>
            </w:r>
            <w:r>
              <w:rPr>
                <w:rFonts w:hint="eastAsia" w:ascii="宋体" w:hAnsi="宋体"/>
                <w:color w:val="000000"/>
                <w:kern w:val="0"/>
                <w:sz w:val="18"/>
                <w:szCs w:val="18"/>
              </w:rPr>
              <w:t>分，扣完为止。</w:t>
            </w:r>
          </w:p>
        </w:tc>
        <w:tc>
          <w:tcPr>
            <w:tcW w:w="340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创新驱动发展专项资金除市直单位由六安市科技局直接支付外，其他县区奖补资金采取转移支付方式（由六安市财政局拨付至各县区财政，县区财政拨付至企业）；通过抽查霍山、金寨及裕安区三个县区财政资金拨付至企业（</w:t>
            </w:r>
            <w:r>
              <w:rPr>
                <w:color w:val="000000"/>
                <w:kern w:val="0"/>
                <w:sz w:val="18"/>
                <w:szCs w:val="18"/>
              </w:rPr>
              <w:t>15</w:t>
            </w:r>
            <w:r>
              <w:rPr>
                <w:rFonts w:hint="eastAsia" w:ascii="宋体" w:hAnsi="宋体"/>
                <w:color w:val="000000"/>
                <w:kern w:val="0"/>
                <w:sz w:val="18"/>
                <w:szCs w:val="18"/>
              </w:rPr>
              <w:t>家），财政资金未及时拨付的共计</w:t>
            </w:r>
            <w:r>
              <w:rPr>
                <w:color w:val="000000"/>
                <w:kern w:val="0"/>
                <w:sz w:val="18"/>
                <w:szCs w:val="18"/>
              </w:rPr>
              <w:t>10</w:t>
            </w:r>
            <w:r>
              <w:rPr>
                <w:rFonts w:hint="eastAsia" w:ascii="宋体" w:hAnsi="宋体"/>
                <w:color w:val="000000"/>
                <w:kern w:val="0"/>
                <w:sz w:val="18"/>
                <w:szCs w:val="18"/>
              </w:rPr>
              <w:t>家（其中：霍山</w:t>
            </w:r>
            <w:r>
              <w:rPr>
                <w:color w:val="000000"/>
                <w:kern w:val="0"/>
                <w:sz w:val="18"/>
                <w:szCs w:val="18"/>
              </w:rPr>
              <w:t>5</w:t>
            </w:r>
            <w:r>
              <w:rPr>
                <w:rFonts w:hint="eastAsia" w:ascii="宋体" w:hAnsi="宋体"/>
                <w:color w:val="000000"/>
                <w:kern w:val="0"/>
                <w:sz w:val="18"/>
                <w:szCs w:val="18"/>
              </w:rPr>
              <w:t>家、金寨</w:t>
            </w:r>
            <w:r>
              <w:rPr>
                <w:color w:val="000000"/>
                <w:kern w:val="0"/>
                <w:sz w:val="18"/>
                <w:szCs w:val="18"/>
              </w:rPr>
              <w:t>2</w:t>
            </w:r>
            <w:r>
              <w:rPr>
                <w:rFonts w:hint="eastAsia" w:ascii="宋体" w:hAnsi="宋体"/>
                <w:color w:val="000000"/>
                <w:kern w:val="0"/>
                <w:sz w:val="18"/>
                <w:szCs w:val="18"/>
              </w:rPr>
              <w:t>家、裕安区</w:t>
            </w:r>
            <w:r>
              <w:rPr>
                <w:color w:val="000000"/>
                <w:kern w:val="0"/>
                <w:sz w:val="18"/>
                <w:szCs w:val="18"/>
              </w:rPr>
              <w:t>3</w:t>
            </w:r>
            <w:r>
              <w:rPr>
                <w:rFonts w:hint="eastAsia" w:ascii="宋体" w:hAnsi="宋体"/>
                <w:color w:val="000000"/>
                <w:kern w:val="0"/>
                <w:sz w:val="18"/>
                <w:szCs w:val="18"/>
              </w:rPr>
              <w:t>家）。依据评分标准，扣</w:t>
            </w:r>
            <w:r>
              <w:rPr>
                <w:color w:val="000000"/>
                <w:kern w:val="0"/>
                <w:sz w:val="18"/>
                <w:szCs w:val="18"/>
              </w:rPr>
              <w:t>5</w:t>
            </w:r>
            <w:r>
              <w:rPr>
                <w:rFonts w:hint="eastAsia" w:ascii="宋体" w:hAnsi="宋体"/>
                <w:color w:val="000000"/>
                <w:kern w:val="0"/>
                <w:sz w:val="18"/>
                <w:szCs w:val="18"/>
              </w:rPr>
              <w:t>分，得</w:t>
            </w:r>
            <w:r>
              <w:rPr>
                <w:color w:val="000000"/>
                <w:kern w:val="0"/>
                <w:sz w:val="18"/>
                <w:szCs w:val="18"/>
              </w:rPr>
              <w:t>3</w:t>
            </w:r>
            <w:r>
              <w:rPr>
                <w:rFonts w:hint="eastAsia" w:ascii="宋体" w:hAnsi="宋体"/>
                <w:color w:val="000000"/>
                <w:kern w:val="0"/>
                <w:sz w:val="18"/>
                <w:szCs w:val="18"/>
              </w:rPr>
              <w:t>分。</w:t>
            </w:r>
          </w:p>
        </w:tc>
        <w:tc>
          <w:tcPr>
            <w:tcW w:w="604" w:type="dxa"/>
            <w:gridSpan w:val="2"/>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w:t>
            </w:r>
          </w:p>
        </w:tc>
      </w:tr>
      <w:tr>
        <w:tblPrEx>
          <w:tblCellMar>
            <w:top w:w="0" w:type="dxa"/>
            <w:left w:w="108" w:type="dxa"/>
            <w:bottom w:w="0" w:type="dxa"/>
            <w:right w:w="108" w:type="dxa"/>
          </w:tblCellMar>
        </w:tblPrEx>
        <w:trPr>
          <w:trHeight w:val="2332"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17</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创新机制</w:t>
            </w:r>
            <w:r>
              <w:rPr>
                <w:rFonts w:hint="eastAsia" w:ascii="宋体" w:hAnsi="宋体"/>
                <w:color w:val="000000"/>
                <w:kern w:val="0"/>
                <w:sz w:val="18"/>
                <w:szCs w:val="18"/>
              </w:rPr>
              <w:br w:type="textWrapping"/>
            </w:r>
            <w:r>
              <w:rPr>
                <w:rFonts w:hint="eastAsia" w:ascii="宋体" w:hAnsi="宋体"/>
                <w:color w:val="000000"/>
                <w:kern w:val="0"/>
                <w:sz w:val="18"/>
                <w:szCs w:val="18"/>
              </w:rPr>
              <w:t>（</w:t>
            </w:r>
            <w:r>
              <w:rPr>
                <w:color w:val="000000"/>
                <w:kern w:val="0"/>
                <w:sz w:val="18"/>
                <w:szCs w:val="18"/>
              </w:rPr>
              <w:t>2</w:t>
            </w:r>
            <w:r>
              <w:rPr>
                <w:rFonts w:hint="eastAsia" w:ascii="宋体" w:hAnsi="宋体"/>
                <w:color w:val="000000"/>
                <w:kern w:val="0"/>
                <w:sz w:val="18"/>
                <w:szCs w:val="18"/>
              </w:rPr>
              <w:t>分）</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ascii="宋体" w:hAnsi="宋体"/>
                <w:color w:val="000000"/>
                <w:kern w:val="0"/>
                <w:sz w:val="18"/>
                <w:szCs w:val="18"/>
              </w:rPr>
              <w:t>创新机制</w:t>
            </w:r>
          </w:p>
        </w:tc>
        <w:tc>
          <w:tcPr>
            <w:tcW w:w="62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w:t>
            </w:r>
          </w:p>
        </w:tc>
        <w:tc>
          <w:tcPr>
            <w:tcW w:w="2779"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项目主管部门在项目实施周期内，是否进行创新，用以反映创新机制建立及落实情况。</w:t>
            </w:r>
          </w:p>
        </w:tc>
        <w:tc>
          <w:tcPr>
            <w:tcW w:w="466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评价要点：</w:t>
            </w:r>
            <w:r>
              <w:rPr>
                <w:color w:val="000000"/>
                <w:kern w:val="0"/>
                <w:sz w:val="18"/>
                <w:szCs w:val="18"/>
              </w:rPr>
              <w:br w:type="textWrapping"/>
            </w:r>
            <w:r>
              <w:rPr>
                <w:color w:val="000000"/>
                <w:kern w:val="0"/>
                <w:sz w:val="18"/>
                <w:szCs w:val="18"/>
              </w:rPr>
              <w:t>1.</w:t>
            </w:r>
            <w:r>
              <w:rPr>
                <w:rFonts w:hint="eastAsia" w:ascii="宋体" w:hAnsi="宋体"/>
                <w:color w:val="000000"/>
                <w:kern w:val="0"/>
                <w:sz w:val="18"/>
                <w:szCs w:val="18"/>
              </w:rPr>
              <w:t>项目主管部门在项目实施周期内，开创新型模式，并取得的较好的效果；每项得</w:t>
            </w:r>
            <w:r>
              <w:rPr>
                <w:color w:val="000000"/>
                <w:kern w:val="0"/>
                <w:sz w:val="18"/>
                <w:szCs w:val="18"/>
              </w:rPr>
              <w:t>1</w:t>
            </w:r>
            <w:r>
              <w:rPr>
                <w:rFonts w:hint="eastAsia" w:ascii="宋体" w:hAnsi="宋体"/>
                <w:color w:val="000000"/>
                <w:kern w:val="0"/>
                <w:sz w:val="18"/>
                <w:szCs w:val="18"/>
              </w:rPr>
              <w:t>分，否则不得分。</w:t>
            </w:r>
          </w:p>
        </w:tc>
        <w:tc>
          <w:tcPr>
            <w:tcW w:w="340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ascii="Segoe UI Symbol" w:hAnsi="Segoe UI Symbol"/>
                <w:color w:val="000000"/>
                <w:kern w:val="0"/>
                <w:sz w:val="18"/>
                <w:szCs w:val="18"/>
              </w:rPr>
              <w:t>①</w:t>
            </w:r>
            <w:r>
              <w:rPr>
                <w:rFonts w:hint="eastAsia" w:ascii="宋体" w:hAnsi="宋体"/>
                <w:color w:val="000000"/>
                <w:kern w:val="0"/>
                <w:sz w:val="18"/>
                <w:szCs w:val="18"/>
              </w:rPr>
              <w:t>六安市科学技术局组建安徽科技大市场六安市场，围绕六安市各类创新主体需求，发挥平台优势，大力开展人才培养、创新项目导入和高新企业培育工作，推动产业链和创新链融合，加快培育新兴产业，促进更多科技成果转移转化。</w:t>
            </w:r>
            <w:r>
              <w:rPr>
                <w:rFonts w:ascii="Segoe UI Symbol" w:hAnsi="Segoe UI Symbol"/>
                <w:color w:val="000000"/>
                <w:kern w:val="0"/>
                <w:sz w:val="18"/>
                <w:szCs w:val="18"/>
              </w:rPr>
              <w:t>②</w:t>
            </w:r>
            <w:r>
              <w:rPr>
                <w:rFonts w:hint="eastAsia" w:ascii="宋体" w:hAnsi="宋体"/>
                <w:color w:val="000000"/>
                <w:kern w:val="0"/>
                <w:sz w:val="18"/>
                <w:szCs w:val="18"/>
              </w:rPr>
              <w:t>积极组建六安市新能源汽车产业专家咨询委员会，委员会是由六安市科学技术局与合肥市新能源汽车产业协会对接，同时面向市内外高校院所和产业链相关企业广泛征集遴选、组建而成，共有20名行业领域资深专家，其中合肥和六安各10名，作为新能源汽车产业“智库”，为六安市产业发展提供相关智力支持和决策参考。依据评分标准，得2分。</w:t>
            </w:r>
          </w:p>
        </w:tc>
        <w:tc>
          <w:tcPr>
            <w:tcW w:w="604" w:type="dxa"/>
            <w:gridSpan w:val="2"/>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w:t>
            </w:r>
          </w:p>
        </w:tc>
      </w:tr>
      <w:tr>
        <w:tblPrEx>
          <w:tblCellMar>
            <w:top w:w="0" w:type="dxa"/>
            <w:left w:w="108" w:type="dxa"/>
            <w:bottom w:w="0" w:type="dxa"/>
            <w:right w:w="108" w:type="dxa"/>
          </w:tblCellMar>
        </w:tblPrEx>
        <w:trPr>
          <w:trHeight w:val="1740"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18</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效益</w:t>
            </w:r>
            <w:r>
              <w:rPr>
                <w:color w:val="000000"/>
                <w:kern w:val="0"/>
                <w:sz w:val="18"/>
                <w:szCs w:val="18"/>
              </w:rPr>
              <w:br w:type="textWrapping"/>
            </w:r>
            <w:r>
              <w:rPr>
                <w:rFonts w:hint="eastAsia" w:ascii="宋体" w:hAnsi="宋体"/>
                <w:color w:val="000000"/>
                <w:kern w:val="0"/>
                <w:sz w:val="18"/>
                <w:szCs w:val="18"/>
              </w:rPr>
              <w:t>（</w:t>
            </w:r>
            <w:r>
              <w:rPr>
                <w:color w:val="000000"/>
                <w:kern w:val="0"/>
                <w:sz w:val="18"/>
                <w:szCs w:val="18"/>
              </w:rPr>
              <w:t>16</w:t>
            </w:r>
            <w:r>
              <w:rPr>
                <w:rFonts w:hint="eastAsia" w:ascii="宋体" w:hAnsi="宋体"/>
                <w:color w:val="000000"/>
                <w:kern w:val="0"/>
                <w:sz w:val="18"/>
                <w:szCs w:val="18"/>
              </w:rPr>
              <w:t>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项目效益</w:t>
            </w:r>
            <w:r>
              <w:rPr>
                <w:color w:val="000000"/>
                <w:kern w:val="0"/>
                <w:sz w:val="18"/>
                <w:szCs w:val="18"/>
              </w:rPr>
              <w:br w:type="textWrapping"/>
            </w:r>
            <w:r>
              <w:rPr>
                <w:rFonts w:hint="eastAsia" w:ascii="宋体" w:hAnsi="宋体"/>
                <w:color w:val="000000"/>
                <w:kern w:val="0"/>
                <w:sz w:val="18"/>
                <w:szCs w:val="18"/>
              </w:rPr>
              <w:t>（</w:t>
            </w:r>
            <w:r>
              <w:rPr>
                <w:color w:val="000000"/>
                <w:kern w:val="0"/>
                <w:sz w:val="18"/>
                <w:szCs w:val="18"/>
              </w:rPr>
              <w:t>6</w:t>
            </w:r>
            <w:r>
              <w:rPr>
                <w:rFonts w:hint="eastAsia" w:ascii="宋体" w:hAnsi="宋体"/>
                <w:color w:val="000000"/>
                <w:kern w:val="0"/>
                <w:sz w:val="18"/>
                <w:szCs w:val="18"/>
              </w:rPr>
              <w:t>分）</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ascii="宋体" w:hAnsi="宋体"/>
                <w:color w:val="000000"/>
                <w:kern w:val="0"/>
                <w:sz w:val="18"/>
                <w:szCs w:val="18"/>
              </w:rPr>
              <w:t>社会效益</w:t>
            </w:r>
          </w:p>
        </w:tc>
        <w:tc>
          <w:tcPr>
            <w:tcW w:w="62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w:t>
            </w:r>
          </w:p>
        </w:tc>
        <w:tc>
          <w:tcPr>
            <w:tcW w:w="2779"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项目的实施对社会发展所带来的直接或间接影响，评价项目实施后对社会效益方面产生的影响。</w:t>
            </w:r>
          </w:p>
        </w:tc>
        <w:tc>
          <w:tcPr>
            <w:tcW w:w="466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评价要点：</w:t>
            </w:r>
            <w:r>
              <w:rPr>
                <w:color w:val="000000"/>
                <w:kern w:val="0"/>
                <w:sz w:val="18"/>
                <w:szCs w:val="18"/>
              </w:rPr>
              <w:t xml:space="preserve"> </w:t>
            </w:r>
            <w:r>
              <w:rPr>
                <w:color w:val="000000"/>
                <w:kern w:val="0"/>
                <w:sz w:val="18"/>
                <w:szCs w:val="18"/>
              </w:rPr>
              <w:br w:type="textWrapping"/>
            </w:r>
            <w:r>
              <w:rPr>
                <w:color w:val="000000"/>
                <w:kern w:val="0"/>
                <w:sz w:val="18"/>
                <w:szCs w:val="18"/>
              </w:rPr>
              <w:t>1.</w:t>
            </w:r>
            <w:r>
              <w:rPr>
                <w:rFonts w:hint="eastAsia" w:ascii="宋体" w:hAnsi="宋体"/>
                <w:color w:val="000000"/>
                <w:kern w:val="0"/>
                <w:sz w:val="18"/>
                <w:szCs w:val="18"/>
              </w:rPr>
              <w:t>通过对标</w:t>
            </w:r>
            <w:r>
              <w:rPr>
                <w:color w:val="000000"/>
                <w:kern w:val="0"/>
                <w:sz w:val="18"/>
                <w:szCs w:val="18"/>
              </w:rPr>
              <w:t>2021</w:t>
            </w:r>
            <w:r>
              <w:rPr>
                <w:rFonts w:hint="eastAsia" w:ascii="宋体" w:hAnsi="宋体"/>
                <w:color w:val="000000"/>
                <w:kern w:val="0"/>
                <w:sz w:val="18"/>
                <w:szCs w:val="18"/>
              </w:rPr>
              <w:t>年，评价</w:t>
            </w:r>
            <w:r>
              <w:rPr>
                <w:color w:val="000000"/>
                <w:kern w:val="0"/>
                <w:sz w:val="18"/>
                <w:szCs w:val="18"/>
              </w:rPr>
              <w:t>2022</w:t>
            </w:r>
            <w:r>
              <w:rPr>
                <w:rFonts w:hint="eastAsia" w:ascii="宋体" w:hAnsi="宋体"/>
                <w:color w:val="000000"/>
                <w:kern w:val="0"/>
                <w:sz w:val="18"/>
                <w:szCs w:val="18"/>
              </w:rPr>
              <w:t>年产生的社会效益；对新增高新技术企业、新增技术创新中心（实验室）、新增科技特派员创业工作站、新增科创中心孵化企业、省级以上科技计划项目及新增农业科技专家大院等方面产生的影响。</w:t>
            </w:r>
            <w:r>
              <w:rPr>
                <w:rFonts w:hint="eastAsia" w:ascii="宋体" w:hAnsi="宋体"/>
                <w:color w:val="000000"/>
                <w:kern w:val="0"/>
                <w:sz w:val="18"/>
                <w:szCs w:val="18"/>
              </w:rPr>
              <w:br w:type="textWrapping"/>
            </w:r>
            <w:r>
              <w:rPr>
                <w:rFonts w:hint="eastAsia" w:ascii="宋体" w:hAnsi="宋体"/>
                <w:color w:val="000000"/>
                <w:kern w:val="0"/>
                <w:sz w:val="18"/>
                <w:szCs w:val="18"/>
              </w:rPr>
              <w:t>备注：每项分值</w:t>
            </w:r>
            <w:r>
              <w:rPr>
                <w:color w:val="000000"/>
                <w:kern w:val="0"/>
                <w:sz w:val="18"/>
                <w:szCs w:val="18"/>
              </w:rPr>
              <w:t>1</w:t>
            </w:r>
            <w:r>
              <w:rPr>
                <w:rFonts w:hint="eastAsia" w:ascii="宋体" w:hAnsi="宋体"/>
                <w:color w:val="000000"/>
                <w:kern w:val="0"/>
                <w:sz w:val="18"/>
                <w:szCs w:val="18"/>
              </w:rPr>
              <w:t>分；指标数有增长得</w:t>
            </w:r>
            <w:r>
              <w:rPr>
                <w:color w:val="000000"/>
                <w:kern w:val="0"/>
                <w:sz w:val="18"/>
                <w:szCs w:val="18"/>
              </w:rPr>
              <w:t>0.5</w:t>
            </w:r>
            <w:r>
              <w:rPr>
                <w:rFonts w:hint="eastAsia" w:ascii="宋体" w:hAnsi="宋体"/>
                <w:color w:val="000000"/>
                <w:kern w:val="0"/>
                <w:sz w:val="18"/>
                <w:szCs w:val="18"/>
              </w:rPr>
              <w:t>分，增长值为正值得</w:t>
            </w:r>
            <w:r>
              <w:rPr>
                <w:color w:val="000000"/>
                <w:kern w:val="0"/>
                <w:sz w:val="18"/>
                <w:szCs w:val="18"/>
              </w:rPr>
              <w:t>0.5</w:t>
            </w:r>
            <w:r>
              <w:rPr>
                <w:rFonts w:hint="eastAsia" w:ascii="宋体" w:hAnsi="宋体"/>
                <w:color w:val="000000"/>
                <w:kern w:val="0"/>
                <w:sz w:val="18"/>
                <w:szCs w:val="18"/>
              </w:rPr>
              <w:t>分，为负不得分。</w:t>
            </w:r>
          </w:p>
        </w:tc>
        <w:tc>
          <w:tcPr>
            <w:tcW w:w="340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2022</w:t>
            </w:r>
            <w:r>
              <w:rPr>
                <w:rFonts w:hint="eastAsia" w:ascii="宋体" w:hAnsi="宋体"/>
                <w:color w:val="000000"/>
                <w:kern w:val="0"/>
                <w:sz w:val="18"/>
                <w:szCs w:val="18"/>
              </w:rPr>
              <w:t>年新增高新技术企业数</w:t>
            </w:r>
            <w:r>
              <w:rPr>
                <w:color w:val="000000"/>
                <w:kern w:val="0"/>
                <w:sz w:val="18"/>
                <w:szCs w:val="18"/>
              </w:rPr>
              <w:t>225</w:t>
            </w:r>
            <w:r>
              <w:rPr>
                <w:rFonts w:hint="eastAsia" w:ascii="宋体" w:hAnsi="宋体"/>
                <w:color w:val="000000"/>
                <w:kern w:val="0"/>
                <w:sz w:val="18"/>
                <w:szCs w:val="18"/>
              </w:rPr>
              <w:t>家（同比增长</w:t>
            </w:r>
            <w:r>
              <w:rPr>
                <w:color w:val="000000"/>
                <w:kern w:val="0"/>
                <w:sz w:val="18"/>
                <w:szCs w:val="18"/>
              </w:rPr>
              <w:t>75</w:t>
            </w:r>
            <w:r>
              <w:rPr>
                <w:rFonts w:hint="eastAsia" w:ascii="宋体" w:hAnsi="宋体"/>
                <w:color w:val="000000"/>
                <w:kern w:val="0"/>
                <w:sz w:val="18"/>
                <w:szCs w:val="18"/>
              </w:rPr>
              <w:t>家）、新增技术创新中心（实验室）</w:t>
            </w:r>
            <w:r>
              <w:rPr>
                <w:color w:val="000000"/>
                <w:kern w:val="0"/>
                <w:sz w:val="18"/>
                <w:szCs w:val="18"/>
              </w:rPr>
              <w:t>5</w:t>
            </w:r>
            <w:r>
              <w:rPr>
                <w:rFonts w:hint="eastAsia" w:ascii="宋体" w:hAnsi="宋体"/>
                <w:color w:val="000000"/>
                <w:kern w:val="0"/>
                <w:sz w:val="18"/>
                <w:szCs w:val="18"/>
              </w:rPr>
              <w:t>家（同比持平）、新增科技特派员创业工作站</w:t>
            </w:r>
            <w:r>
              <w:rPr>
                <w:color w:val="000000"/>
                <w:kern w:val="0"/>
                <w:sz w:val="18"/>
                <w:szCs w:val="18"/>
              </w:rPr>
              <w:t>16</w:t>
            </w:r>
            <w:r>
              <w:rPr>
                <w:rFonts w:hint="eastAsia" w:ascii="宋体" w:hAnsi="宋体"/>
                <w:color w:val="000000"/>
                <w:kern w:val="0"/>
                <w:sz w:val="18"/>
                <w:szCs w:val="18"/>
              </w:rPr>
              <w:t>家（同比增长</w:t>
            </w:r>
            <w:r>
              <w:rPr>
                <w:color w:val="000000"/>
                <w:kern w:val="0"/>
                <w:sz w:val="18"/>
                <w:szCs w:val="18"/>
              </w:rPr>
              <w:t>16</w:t>
            </w:r>
            <w:r>
              <w:rPr>
                <w:rFonts w:hint="eastAsia" w:ascii="宋体" w:hAnsi="宋体"/>
                <w:color w:val="000000"/>
                <w:kern w:val="0"/>
                <w:sz w:val="18"/>
                <w:szCs w:val="18"/>
              </w:rPr>
              <w:t>家）、科创中心孵化企业数</w:t>
            </w:r>
            <w:r>
              <w:rPr>
                <w:color w:val="000000"/>
                <w:kern w:val="0"/>
                <w:sz w:val="18"/>
                <w:szCs w:val="18"/>
              </w:rPr>
              <w:t>57</w:t>
            </w:r>
            <w:r>
              <w:rPr>
                <w:rFonts w:hint="eastAsia" w:ascii="宋体" w:hAnsi="宋体"/>
                <w:color w:val="000000"/>
                <w:kern w:val="0"/>
                <w:sz w:val="18"/>
                <w:szCs w:val="18"/>
              </w:rPr>
              <w:t>家（同比下降</w:t>
            </w:r>
            <w:r>
              <w:rPr>
                <w:color w:val="000000"/>
                <w:kern w:val="0"/>
                <w:sz w:val="18"/>
                <w:szCs w:val="18"/>
              </w:rPr>
              <w:t>12</w:t>
            </w:r>
            <w:r>
              <w:rPr>
                <w:rFonts w:hint="eastAsia" w:ascii="宋体" w:hAnsi="宋体"/>
                <w:color w:val="000000"/>
                <w:kern w:val="0"/>
                <w:sz w:val="18"/>
                <w:szCs w:val="18"/>
              </w:rPr>
              <w:t>家）、省级以上科技计划项目</w:t>
            </w:r>
            <w:r>
              <w:rPr>
                <w:color w:val="000000"/>
                <w:kern w:val="0"/>
                <w:sz w:val="18"/>
                <w:szCs w:val="18"/>
              </w:rPr>
              <w:t>9</w:t>
            </w:r>
            <w:r>
              <w:rPr>
                <w:rFonts w:hint="eastAsia" w:ascii="宋体" w:hAnsi="宋体"/>
                <w:color w:val="000000"/>
                <w:kern w:val="0"/>
                <w:sz w:val="18"/>
                <w:szCs w:val="18"/>
              </w:rPr>
              <w:t>项（同比下降</w:t>
            </w:r>
            <w:r>
              <w:rPr>
                <w:color w:val="000000"/>
                <w:kern w:val="0"/>
                <w:sz w:val="18"/>
                <w:szCs w:val="18"/>
              </w:rPr>
              <w:t>6</w:t>
            </w:r>
            <w:r>
              <w:rPr>
                <w:rFonts w:hint="eastAsia" w:ascii="宋体" w:hAnsi="宋体"/>
                <w:color w:val="000000"/>
                <w:kern w:val="0"/>
                <w:sz w:val="18"/>
                <w:szCs w:val="18"/>
              </w:rPr>
              <w:t>项）、农业科技专家大院年度无新增（同比持平）；依据评分标准，扣</w:t>
            </w:r>
            <w:r>
              <w:rPr>
                <w:color w:val="000000"/>
                <w:kern w:val="0"/>
                <w:sz w:val="18"/>
                <w:szCs w:val="18"/>
              </w:rPr>
              <w:t>3</w:t>
            </w:r>
            <w:r>
              <w:rPr>
                <w:rFonts w:hint="eastAsia" w:ascii="宋体" w:hAnsi="宋体"/>
                <w:color w:val="000000"/>
                <w:kern w:val="0"/>
                <w:sz w:val="18"/>
                <w:szCs w:val="18"/>
              </w:rPr>
              <w:t>分，得</w:t>
            </w:r>
            <w:r>
              <w:rPr>
                <w:color w:val="000000"/>
                <w:kern w:val="0"/>
                <w:sz w:val="18"/>
                <w:szCs w:val="18"/>
              </w:rPr>
              <w:t>3</w:t>
            </w:r>
            <w:r>
              <w:rPr>
                <w:rFonts w:hint="eastAsia" w:ascii="宋体" w:hAnsi="宋体"/>
                <w:color w:val="000000"/>
                <w:kern w:val="0"/>
                <w:sz w:val="18"/>
                <w:szCs w:val="18"/>
              </w:rPr>
              <w:t>分。</w:t>
            </w:r>
          </w:p>
        </w:tc>
        <w:tc>
          <w:tcPr>
            <w:tcW w:w="604" w:type="dxa"/>
            <w:gridSpan w:val="2"/>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w:t>
            </w:r>
          </w:p>
        </w:tc>
      </w:tr>
      <w:tr>
        <w:tblPrEx>
          <w:tblCellMar>
            <w:top w:w="0" w:type="dxa"/>
            <w:left w:w="108" w:type="dxa"/>
            <w:bottom w:w="0" w:type="dxa"/>
            <w:right w:w="108" w:type="dxa"/>
          </w:tblCellMar>
        </w:tblPrEx>
        <w:trPr>
          <w:trHeight w:val="1695" w:hRule="atLeast"/>
          <w:jc w:val="center"/>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19</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满意度</w:t>
            </w:r>
            <w:r>
              <w:rPr>
                <w:color w:val="000000"/>
                <w:kern w:val="0"/>
                <w:sz w:val="18"/>
                <w:szCs w:val="18"/>
              </w:rPr>
              <w:br w:type="textWrapping"/>
            </w:r>
            <w:r>
              <w:rPr>
                <w:rFonts w:hint="eastAsia" w:ascii="宋体" w:hAnsi="宋体"/>
                <w:color w:val="000000"/>
                <w:kern w:val="0"/>
                <w:sz w:val="18"/>
                <w:szCs w:val="18"/>
              </w:rPr>
              <w:t>（</w:t>
            </w:r>
            <w:r>
              <w:rPr>
                <w:color w:val="000000"/>
                <w:kern w:val="0"/>
                <w:sz w:val="18"/>
                <w:szCs w:val="18"/>
              </w:rPr>
              <w:t>10</w:t>
            </w:r>
            <w:r>
              <w:rPr>
                <w:rFonts w:hint="eastAsia" w:ascii="宋体" w:hAnsi="宋体"/>
                <w:color w:val="000000"/>
                <w:kern w:val="0"/>
                <w:sz w:val="18"/>
                <w:szCs w:val="18"/>
              </w:rPr>
              <w:t>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受益单位满意度</w:t>
            </w:r>
          </w:p>
        </w:tc>
        <w:tc>
          <w:tcPr>
            <w:tcW w:w="62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10</w:t>
            </w:r>
          </w:p>
        </w:tc>
        <w:tc>
          <w:tcPr>
            <w:tcW w:w="2779"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color w:val="000000"/>
                <w:kern w:val="0"/>
                <w:sz w:val="18"/>
                <w:szCs w:val="18"/>
              </w:rPr>
              <w:t>通过发放问卷调查，并对调查结果进行分析，用以反映享受奖补资金的企业对项目实施的满意度情况。</w:t>
            </w:r>
          </w:p>
        </w:tc>
        <w:tc>
          <w:tcPr>
            <w:tcW w:w="466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评价要点：</w:t>
            </w:r>
            <w:r>
              <w:rPr>
                <w:color w:val="000000"/>
                <w:kern w:val="0"/>
                <w:sz w:val="18"/>
                <w:szCs w:val="18"/>
              </w:rPr>
              <w:br w:type="textWrapping"/>
            </w:r>
            <w:r>
              <w:rPr>
                <w:color w:val="000000"/>
                <w:kern w:val="0"/>
                <w:sz w:val="18"/>
                <w:szCs w:val="18"/>
              </w:rPr>
              <w:t>1.</w:t>
            </w:r>
            <w:r>
              <w:rPr>
                <w:rFonts w:hint="eastAsia" w:ascii="宋体" w:hAnsi="宋体"/>
                <w:color w:val="000000"/>
                <w:kern w:val="0"/>
                <w:sz w:val="18"/>
                <w:szCs w:val="18"/>
              </w:rPr>
              <w:t>受益企业对项目的满意度；满意度</w:t>
            </w:r>
            <w:r>
              <w:rPr>
                <w:color w:val="000000"/>
                <w:kern w:val="0"/>
                <w:sz w:val="18"/>
                <w:szCs w:val="18"/>
              </w:rPr>
              <w:t>=</w:t>
            </w:r>
            <w:r>
              <w:rPr>
                <w:rFonts w:hint="eastAsia" w:ascii="宋体" w:hAnsi="宋体"/>
                <w:color w:val="000000"/>
                <w:kern w:val="0"/>
                <w:sz w:val="18"/>
                <w:szCs w:val="18"/>
              </w:rPr>
              <w:t>（非常满意数</w:t>
            </w:r>
            <w:r>
              <w:rPr>
                <w:color w:val="000000"/>
                <w:kern w:val="0"/>
                <w:sz w:val="18"/>
                <w:szCs w:val="18"/>
              </w:rPr>
              <w:t>*100%+</w:t>
            </w:r>
            <w:r>
              <w:rPr>
                <w:rFonts w:hint="eastAsia" w:ascii="宋体" w:hAnsi="宋体"/>
                <w:color w:val="000000"/>
                <w:kern w:val="0"/>
                <w:sz w:val="18"/>
                <w:szCs w:val="18"/>
              </w:rPr>
              <w:t>比较满意数</w:t>
            </w:r>
            <w:r>
              <w:rPr>
                <w:color w:val="000000"/>
                <w:kern w:val="0"/>
                <w:sz w:val="18"/>
                <w:szCs w:val="18"/>
              </w:rPr>
              <w:t>*80%+</w:t>
            </w:r>
            <w:r>
              <w:rPr>
                <w:rFonts w:hint="eastAsia" w:ascii="宋体" w:hAnsi="宋体"/>
                <w:color w:val="000000"/>
                <w:kern w:val="0"/>
                <w:sz w:val="18"/>
                <w:szCs w:val="18"/>
              </w:rPr>
              <w:t>一般</w:t>
            </w:r>
            <w:r>
              <w:rPr>
                <w:color w:val="000000"/>
                <w:kern w:val="0"/>
                <w:sz w:val="18"/>
                <w:szCs w:val="18"/>
              </w:rPr>
              <w:t>*60%+</w:t>
            </w:r>
            <w:r>
              <w:rPr>
                <w:rFonts w:hint="eastAsia" w:ascii="宋体" w:hAnsi="宋体"/>
                <w:color w:val="000000"/>
                <w:kern w:val="0"/>
                <w:sz w:val="18"/>
                <w:szCs w:val="18"/>
              </w:rPr>
              <w:t>不太满意数</w:t>
            </w:r>
            <w:r>
              <w:rPr>
                <w:color w:val="000000"/>
                <w:kern w:val="0"/>
                <w:sz w:val="18"/>
                <w:szCs w:val="18"/>
              </w:rPr>
              <w:t>*30%+</w:t>
            </w:r>
            <w:r>
              <w:rPr>
                <w:rFonts w:hint="eastAsia" w:ascii="宋体" w:hAnsi="宋体"/>
                <w:color w:val="000000"/>
                <w:kern w:val="0"/>
                <w:sz w:val="18"/>
                <w:szCs w:val="18"/>
              </w:rPr>
              <w:t>不满意数</w:t>
            </w:r>
            <w:r>
              <w:rPr>
                <w:color w:val="000000"/>
                <w:kern w:val="0"/>
                <w:sz w:val="18"/>
                <w:szCs w:val="18"/>
              </w:rPr>
              <w:t>*0%</w:t>
            </w:r>
            <w:r>
              <w:rPr>
                <w:rFonts w:hint="eastAsia" w:ascii="宋体" w:hAnsi="宋体"/>
                <w:color w:val="000000"/>
                <w:kern w:val="0"/>
                <w:sz w:val="18"/>
                <w:szCs w:val="18"/>
              </w:rPr>
              <w:t>）</w:t>
            </w:r>
            <w:r>
              <w:rPr>
                <w:color w:val="000000"/>
                <w:kern w:val="0"/>
                <w:sz w:val="18"/>
                <w:szCs w:val="18"/>
              </w:rPr>
              <w:t>/</w:t>
            </w:r>
            <w:r>
              <w:rPr>
                <w:rFonts w:hint="eastAsia" w:ascii="宋体" w:hAnsi="宋体"/>
                <w:color w:val="000000"/>
                <w:kern w:val="0"/>
                <w:sz w:val="18"/>
                <w:szCs w:val="18"/>
              </w:rPr>
              <w:t>调查问卷回收总数</w:t>
            </w:r>
            <w:r>
              <w:rPr>
                <w:color w:val="000000"/>
                <w:kern w:val="0"/>
                <w:sz w:val="18"/>
                <w:szCs w:val="18"/>
              </w:rPr>
              <w:t>*100%</w:t>
            </w:r>
            <w:r>
              <w:rPr>
                <w:rFonts w:hint="eastAsia" w:ascii="宋体" w:hAnsi="宋体"/>
                <w:color w:val="000000"/>
                <w:kern w:val="0"/>
                <w:sz w:val="18"/>
                <w:szCs w:val="18"/>
              </w:rPr>
              <w:t>。</w:t>
            </w:r>
            <w:r>
              <w:rPr>
                <w:color w:val="000000"/>
                <w:kern w:val="0"/>
                <w:sz w:val="18"/>
                <w:szCs w:val="18"/>
              </w:rPr>
              <w:br w:type="textWrapping"/>
            </w:r>
            <w:r>
              <w:rPr>
                <w:rFonts w:hint="eastAsia" w:ascii="宋体" w:hAnsi="宋体"/>
                <w:color w:val="000000"/>
                <w:kern w:val="0"/>
                <w:sz w:val="18"/>
                <w:szCs w:val="18"/>
              </w:rPr>
              <w:t>注：以上满意度调查，需要包含对项目的建议评价，项目实施、项目管理、项目产生的效益等满意度。</w:t>
            </w:r>
          </w:p>
        </w:tc>
        <w:tc>
          <w:tcPr>
            <w:tcW w:w="3401"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18"/>
                <w:szCs w:val="18"/>
              </w:rPr>
            </w:pPr>
            <w:r>
              <w:rPr>
                <w:rFonts w:hint="eastAsia" w:ascii="宋体" w:hAnsi="宋体"/>
                <w:color w:val="000000"/>
                <w:kern w:val="0"/>
                <w:sz w:val="18"/>
                <w:szCs w:val="18"/>
              </w:rPr>
              <w:t>通过对科技创新专项资金项目实施情况进行问卷调查，受益企业对科技创新专项资金项目实施情况满意度为</w:t>
            </w:r>
            <w:r>
              <w:rPr>
                <w:color w:val="000000"/>
                <w:kern w:val="0"/>
                <w:sz w:val="18"/>
                <w:szCs w:val="18"/>
              </w:rPr>
              <w:t>95.45%</w:t>
            </w:r>
            <w:r>
              <w:rPr>
                <w:rFonts w:hint="eastAsia" w:ascii="宋体" w:hAnsi="宋体"/>
                <w:color w:val="000000"/>
                <w:kern w:val="0"/>
                <w:sz w:val="18"/>
                <w:szCs w:val="18"/>
              </w:rPr>
              <w:t>；满意度</w:t>
            </w:r>
            <w:r>
              <w:rPr>
                <w:color w:val="000000"/>
                <w:kern w:val="0"/>
                <w:sz w:val="18"/>
                <w:szCs w:val="18"/>
              </w:rPr>
              <w:t>=</w:t>
            </w:r>
            <w:r>
              <w:rPr>
                <w:rFonts w:hint="eastAsia" w:ascii="宋体" w:hAnsi="宋体"/>
                <w:color w:val="000000"/>
                <w:kern w:val="0"/>
                <w:sz w:val="18"/>
                <w:szCs w:val="18"/>
              </w:rPr>
              <w:t>（</w:t>
            </w:r>
            <w:r>
              <w:rPr>
                <w:color w:val="000000"/>
                <w:kern w:val="0"/>
                <w:sz w:val="18"/>
                <w:szCs w:val="18"/>
              </w:rPr>
              <w:t>54*100%+9*80%+3*60%</w:t>
            </w:r>
            <w:r>
              <w:rPr>
                <w:rFonts w:hint="eastAsia" w:ascii="宋体" w:hAnsi="宋体"/>
                <w:color w:val="000000"/>
                <w:kern w:val="0"/>
                <w:sz w:val="18"/>
                <w:szCs w:val="18"/>
              </w:rPr>
              <w:t>）</w:t>
            </w:r>
            <w:r>
              <w:rPr>
                <w:color w:val="000000"/>
                <w:kern w:val="0"/>
                <w:sz w:val="18"/>
                <w:szCs w:val="18"/>
              </w:rPr>
              <w:t>/66*100%</w:t>
            </w:r>
            <w:r>
              <w:rPr>
                <w:rFonts w:hint="eastAsia" w:ascii="宋体" w:hAnsi="宋体"/>
                <w:color w:val="000000"/>
                <w:kern w:val="0"/>
                <w:sz w:val="18"/>
                <w:szCs w:val="18"/>
              </w:rPr>
              <w:t>。依据评分标准，扣</w:t>
            </w:r>
            <w:r>
              <w:rPr>
                <w:color w:val="000000"/>
                <w:kern w:val="0"/>
                <w:sz w:val="18"/>
                <w:szCs w:val="18"/>
              </w:rPr>
              <w:t>0.5</w:t>
            </w:r>
            <w:r>
              <w:rPr>
                <w:rFonts w:hint="eastAsia" w:ascii="宋体" w:hAnsi="宋体"/>
                <w:color w:val="000000"/>
                <w:kern w:val="0"/>
                <w:sz w:val="18"/>
                <w:szCs w:val="18"/>
              </w:rPr>
              <w:t>分，得</w:t>
            </w:r>
            <w:r>
              <w:rPr>
                <w:color w:val="000000"/>
                <w:kern w:val="0"/>
                <w:sz w:val="18"/>
                <w:szCs w:val="18"/>
              </w:rPr>
              <w:t>9.5</w:t>
            </w:r>
            <w:r>
              <w:rPr>
                <w:rFonts w:hint="eastAsia" w:ascii="宋体" w:hAnsi="宋体"/>
                <w:color w:val="000000"/>
                <w:kern w:val="0"/>
                <w:sz w:val="18"/>
                <w:szCs w:val="18"/>
              </w:rPr>
              <w:t>分。</w:t>
            </w:r>
          </w:p>
        </w:tc>
        <w:tc>
          <w:tcPr>
            <w:tcW w:w="604" w:type="dxa"/>
            <w:gridSpan w:val="2"/>
            <w:tcBorders>
              <w:top w:val="nil"/>
              <w:left w:val="nil"/>
              <w:bottom w:val="single" w:color="auto" w:sz="4" w:space="0"/>
              <w:right w:val="single" w:color="auto" w:sz="4" w:space="0"/>
            </w:tcBorders>
            <w:shd w:val="clear" w:color="000000" w:fill="FFFFFF"/>
            <w:noWrap/>
            <w:vAlign w:val="center"/>
          </w:tcPr>
          <w:p>
            <w:pPr>
              <w:widowControl/>
              <w:jc w:val="center"/>
              <w:rPr>
                <w:color w:val="000000"/>
                <w:kern w:val="0"/>
                <w:sz w:val="18"/>
                <w:szCs w:val="18"/>
              </w:rPr>
            </w:pPr>
            <w:r>
              <w:rPr>
                <w:color w:val="000000"/>
                <w:kern w:val="0"/>
                <w:sz w:val="18"/>
                <w:szCs w:val="18"/>
              </w:rPr>
              <w:t>9.5</w:t>
            </w:r>
          </w:p>
        </w:tc>
      </w:tr>
      <w:tr>
        <w:tblPrEx>
          <w:tblCellMar>
            <w:top w:w="0" w:type="dxa"/>
            <w:left w:w="108" w:type="dxa"/>
            <w:bottom w:w="0" w:type="dxa"/>
            <w:right w:w="108" w:type="dxa"/>
          </w:tblCellMar>
        </w:tblPrEx>
        <w:trPr>
          <w:gridAfter w:val="1"/>
          <w:wAfter w:w="17" w:type="dxa"/>
          <w:trHeight w:val="577" w:hRule="atLeast"/>
          <w:jc w:val="center"/>
        </w:trPr>
        <w:tc>
          <w:tcPr>
            <w:tcW w:w="5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6"/>
                <w:szCs w:val="16"/>
              </w:rPr>
            </w:pPr>
            <w:r>
              <w:rPr>
                <w:color w:val="000000"/>
                <w:kern w:val="0"/>
                <w:sz w:val="16"/>
                <w:szCs w:val="16"/>
              </w:rPr>
              <w:t>　</w:t>
            </w:r>
          </w:p>
        </w:tc>
        <w:tc>
          <w:tcPr>
            <w:tcW w:w="269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color w:val="000000"/>
                <w:kern w:val="0"/>
                <w:sz w:val="16"/>
                <w:szCs w:val="16"/>
              </w:rPr>
            </w:pPr>
            <w:r>
              <w:rPr>
                <w:rFonts w:hint="eastAsia" w:ascii="宋体" w:hAnsi="宋体"/>
                <w:b/>
                <w:bCs/>
                <w:color w:val="000000"/>
                <w:kern w:val="0"/>
                <w:sz w:val="18"/>
                <w:szCs w:val="18"/>
              </w:rPr>
              <w:t>合计</w:t>
            </w:r>
          </w:p>
        </w:tc>
        <w:tc>
          <w:tcPr>
            <w:tcW w:w="623"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 w:val="16"/>
                <w:szCs w:val="16"/>
              </w:rPr>
            </w:pPr>
            <w:r>
              <w:rPr>
                <w:b/>
                <w:bCs/>
                <w:color w:val="000000"/>
                <w:kern w:val="0"/>
                <w:sz w:val="18"/>
                <w:szCs w:val="18"/>
              </w:rPr>
              <w:t>100</w:t>
            </w:r>
          </w:p>
        </w:tc>
        <w:tc>
          <w:tcPr>
            <w:tcW w:w="2779"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 w:val="20"/>
                <w:szCs w:val="20"/>
              </w:rPr>
            </w:pPr>
            <w:r>
              <w:rPr>
                <w:b/>
                <w:bCs/>
                <w:color w:val="000000"/>
                <w:kern w:val="0"/>
                <w:sz w:val="20"/>
                <w:szCs w:val="20"/>
              </w:rPr>
              <w:t>-</w:t>
            </w:r>
          </w:p>
        </w:tc>
        <w:tc>
          <w:tcPr>
            <w:tcW w:w="4644"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 w:val="16"/>
                <w:szCs w:val="16"/>
              </w:rPr>
            </w:pPr>
            <w:r>
              <w:rPr>
                <w:b/>
                <w:bCs/>
                <w:color w:val="000000"/>
                <w:kern w:val="0"/>
                <w:sz w:val="16"/>
                <w:szCs w:val="16"/>
              </w:rPr>
              <w:t>-</w:t>
            </w:r>
          </w:p>
        </w:tc>
        <w:tc>
          <w:tcPr>
            <w:tcW w:w="3401" w:type="dxa"/>
            <w:gridSpan w:val="2"/>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 w:val="16"/>
                <w:szCs w:val="16"/>
              </w:rPr>
            </w:pPr>
            <w:r>
              <w:rPr>
                <w:b/>
                <w:bCs/>
                <w:color w:val="000000"/>
                <w:kern w:val="0"/>
                <w:sz w:val="16"/>
                <w:szCs w:val="16"/>
              </w:rPr>
              <w:t>-</w:t>
            </w:r>
          </w:p>
        </w:tc>
        <w:tc>
          <w:tcPr>
            <w:tcW w:w="604" w:type="dxa"/>
            <w:gridSpan w:val="2"/>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 w:val="16"/>
                <w:szCs w:val="16"/>
              </w:rPr>
            </w:pPr>
            <w:r>
              <w:rPr>
                <w:b/>
                <w:bCs/>
                <w:color w:val="000000"/>
                <w:kern w:val="0"/>
                <w:sz w:val="18"/>
                <w:szCs w:val="18"/>
              </w:rPr>
              <w:t>82</w:t>
            </w:r>
          </w:p>
        </w:tc>
      </w:tr>
    </w:tbl>
    <w:p>
      <w:pPr>
        <w:pStyle w:val="3"/>
        <w:keepNext w:val="0"/>
        <w:keepLines w:val="0"/>
        <w:pageBreakBefore w:val="0"/>
        <w:widowControl w:val="0"/>
        <w:numPr>
          <w:ilvl w:val="0"/>
          <w:numId w:val="0"/>
        </w:numPr>
        <w:kinsoku/>
        <w:wordWrap/>
        <w:overflowPunct/>
        <w:topLinePunct w:val="0"/>
        <w:bidi w:val="0"/>
        <w:spacing w:line="600" w:lineRule="exact"/>
        <w:ind w:left="0" w:leftChars="0" w:right="0" w:rightChars="0"/>
        <w:jc w:val="right"/>
        <w:textAlignment w:val="auto"/>
        <w:rPr>
          <w:rFonts w:hint="eastAsia" w:ascii="方正仿宋_GBK" w:hAnsi="方正仿宋_GBK" w:eastAsia="方正仿宋_GBK" w:cs="方正仿宋_GBK"/>
          <w:b w:val="0"/>
          <w:color w:val="000000"/>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bidi w:val="0"/>
        <w:spacing w:line="600" w:lineRule="exact"/>
        <w:ind w:left="0" w:leftChars="0" w:right="0" w:rightChars="0"/>
        <w:jc w:val="right"/>
        <w:textAlignment w:val="auto"/>
        <w:rPr>
          <w:rFonts w:hint="default" w:ascii="方正仿宋_GBK" w:hAnsi="方正仿宋_GBK" w:eastAsia="方正仿宋_GBK" w:cs="方正仿宋_GBK"/>
          <w:b w:val="0"/>
          <w:color w:val="000000"/>
          <w:kern w:val="2"/>
          <w:sz w:val="32"/>
          <w:szCs w:val="32"/>
          <w:lang w:val="en-US" w:eastAsia="zh-CN" w:bidi="ar-SA"/>
        </w:rPr>
      </w:pPr>
    </w:p>
    <w:sectPr>
      <w:pgSz w:w="16838" w:h="11906" w:orient="landscape"/>
      <w:pgMar w:top="155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7AC69"/>
    <w:multiLevelType w:val="singleLevel"/>
    <w:tmpl w:val="8757AC69"/>
    <w:lvl w:ilvl="0" w:tentative="0">
      <w:start w:val="1"/>
      <w:numFmt w:val="chineseCounting"/>
      <w:suff w:val="nothing"/>
      <w:lvlText w:val="（%1）"/>
      <w:lvlJc w:val="left"/>
      <w:rPr>
        <w:rFonts w:hint="eastAsia"/>
      </w:rPr>
    </w:lvl>
  </w:abstractNum>
  <w:abstractNum w:abstractNumId="1">
    <w:nsid w:val="B0D15DD8"/>
    <w:multiLevelType w:val="singleLevel"/>
    <w:tmpl w:val="B0D15DD8"/>
    <w:lvl w:ilvl="0" w:tentative="0">
      <w:start w:val="1"/>
      <w:numFmt w:val="chineseCounting"/>
      <w:suff w:val="nothing"/>
      <w:lvlText w:val="（%1）"/>
      <w:lvlJc w:val="left"/>
      <w:rPr>
        <w:rFonts w:hint="eastAsia"/>
      </w:rPr>
    </w:lvl>
  </w:abstractNum>
  <w:abstractNum w:abstractNumId="2">
    <w:nsid w:val="3288D4C0"/>
    <w:multiLevelType w:val="singleLevel"/>
    <w:tmpl w:val="3288D4C0"/>
    <w:lvl w:ilvl="0" w:tentative="0">
      <w:start w:val="1"/>
      <w:numFmt w:val="chineseCounting"/>
      <w:suff w:val="nothing"/>
      <w:lvlText w:val="%1、"/>
      <w:lvlJc w:val="left"/>
      <w:rPr>
        <w:rFonts w:hint="eastAsia"/>
      </w:rPr>
    </w:lvl>
  </w:abstractNum>
  <w:abstractNum w:abstractNumId="3">
    <w:nsid w:val="62F351C4"/>
    <w:multiLevelType w:val="singleLevel"/>
    <w:tmpl w:val="62F351C4"/>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ZDQ3YTFjNGU3NmI1MjFhMTUwNmViMjYzZmY2MTgifQ=="/>
  </w:docVars>
  <w:rsids>
    <w:rsidRoot w:val="29960706"/>
    <w:rsid w:val="001C66E0"/>
    <w:rsid w:val="004D2151"/>
    <w:rsid w:val="02D17067"/>
    <w:rsid w:val="034152A6"/>
    <w:rsid w:val="03CC21CB"/>
    <w:rsid w:val="047C774D"/>
    <w:rsid w:val="0619721E"/>
    <w:rsid w:val="06430512"/>
    <w:rsid w:val="0916323F"/>
    <w:rsid w:val="0AC97464"/>
    <w:rsid w:val="0C2F779B"/>
    <w:rsid w:val="0D92679D"/>
    <w:rsid w:val="0F9243BC"/>
    <w:rsid w:val="107C0AD5"/>
    <w:rsid w:val="109202F8"/>
    <w:rsid w:val="12AA7B7B"/>
    <w:rsid w:val="137A7156"/>
    <w:rsid w:val="1525798D"/>
    <w:rsid w:val="15FD6214"/>
    <w:rsid w:val="174C617C"/>
    <w:rsid w:val="1763479D"/>
    <w:rsid w:val="19B906A4"/>
    <w:rsid w:val="1AA06ED7"/>
    <w:rsid w:val="1AC127F4"/>
    <w:rsid w:val="1C5B3C94"/>
    <w:rsid w:val="1FE87F35"/>
    <w:rsid w:val="20E00C0C"/>
    <w:rsid w:val="2177331E"/>
    <w:rsid w:val="21FA7AAB"/>
    <w:rsid w:val="22BB6CC8"/>
    <w:rsid w:val="262F25B9"/>
    <w:rsid w:val="27B26644"/>
    <w:rsid w:val="27BF5A1F"/>
    <w:rsid w:val="29960706"/>
    <w:rsid w:val="29EC23D0"/>
    <w:rsid w:val="2B2F760A"/>
    <w:rsid w:val="2BFD08C4"/>
    <w:rsid w:val="2CBF201D"/>
    <w:rsid w:val="31327262"/>
    <w:rsid w:val="34CE2DFE"/>
    <w:rsid w:val="36853990"/>
    <w:rsid w:val="39D52E80"/>
    <w:rsid w:val="39DF28E3"/>
    <w:rsid w:val="3C37645C"/>
    <w:rsid w:val="3D5B713A"/>
    <w:rsid w:val="3DF5589F"/>
    <w:rsid w:val="3E024D70"/>
    <w:rsid w:val="3EB2553E"/>
    <w:rsid w:val="3EF6796F"/>
    <w:rsid w:val="3F6F7FAE"/>
    <w:rsid w:val="3F79605C"/>
    <w:rsid w:val="43421586"/>
    <w:rsid w:val="43CF6B92"/>
    <w:rsid w:val="43E61913"/>
    <w:rsid w:val="44627A06"/>
    <w:rsid w:val="460A3EB2"/>
    <w:rsid w:val="48907E51"/>
    <w:rsid w:val="49926698"/>
    <w:rsid w:val="4C3752D5"/>
    <w:rsid w:val="4D68645F"/>
    <w:rsid w:val="4DA370C6"/>
    <w:rsid w:val="4EAC07DD"/>
    <w:rsid w:val="519A258E"/>
    <w:rsid w:val="52A01E26"/>
    <w:rsid w:val="53A476F3"/>
    <w:rsid w:val="53CC0F69"/>
    <w:rsid w:val="5490600E"/>
    <w:rsid w:val="549A28A4"/>
    <w:rsid w:val="54A207DC"/>
    <w:rsid w:val="57D60BA4"/>
    <w:rsid w:val="58366D88"/>
    <w:rsid w:val="59D815D8"/>
    <w:rsid w:val="5A647BDD"/>
    <w:rsid w:val="5DDB01B6"/>
    <w:rsid w:val="6150680F"/>
    <w:rsid w:val="61654607"/>
    <w:rsid w:val="624D53FA"/>
    <w:rsid w:val="630C7063"/>
    <w:rsid w:val="633D2A5D"/>
    <w:rsid w:val="63402869"/>
    <w:rsid w:val="66617E7B"/>
    <w:rsid w:val="67D77C40"/>
    <w:rsid w:val="687A4A6F"/>
    <w:rsid w:val="68C47A98"/>
    <w:rsid w:val="6DA149B1"/>
    <w:rsid w:val="6E1D0757"/>
    <w:rsid w:val="74225A24"/>
    <w:rsid w:val="749D546D"/>
    <w:rsid w:val="74EB70E0"/>
    <w:rsid w:val="75363ACC"/>
    <w:rsid w:val="75546060"/>
    <w:rsid w:val="75BF2DDD"/>
    <w:rsid w:val="773F4EBA"/>
    <w:rsid w:val="7783749C"/>
    <w:rsid w:val="78D042C0"/>
    <w:rsid w:val="79A4194C"/>
    <w:rsid w:val="79FC3536"/>
    <w:rsid w:val="7B334A65"/>
    <w:rsid w:val="7F531E4A"/>
    <w:rsid w:val="7F87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spacing w:beforeAutospacing="0" w:afterAutospacing="0"/>
      <w:ind w:firstLine="720" w:firstLineChars="200"/>
      <w:jc w:val="left"/>
      <w:outlineLvl w:val="1"/>
    </w:pPr>
    <w:rPr>
      <w:rFonts w:ascii="宋体" w:hAnsi="宋体" w:eastAsia="黑体" w:cs="宋体"/>
      <w:bCs/>
      <w:kern w:val="0"/>
      <w:sz w:val="32"/>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10438</Words>
  <Characters>11081</Characters>
  <Lines>0</Lines>
  <Paragraphs>0</Paragraphs>
  <TotalTime>14</TotalTime>
  <ScaleCrop>false</ScaleCrop>
  <LinksUpToDate>false</LinksUpToDate>
  <CharactersWithSpaces>11356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2022-03-04T01:04:00Z</dcterms:created>
  <dc:creator>我就是我呀</dc:creator>
  <cp:lastModifiedBy>我就是我呀</cp:lastModifiedBy>
  <cp:lastPrinted>2023-07-10T06:45:03Z</cp:lastPrinted>
  <dcterms:modified xsi:type="dcterms:W3CDTF">2023-07-10T06:46:14Z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AEF2E21D408C4FB2BA8365C015CEF4A6_13</vt:lpwstr>
  </property>
</Properties>
</file>